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B1" w:rsidRPr="0096231F" w:rsidRDefault="00AE0CB1" w:rsidP="00AE0C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E0CB1" w:rsidRPr="004B7D3B" w:rsidRDefault="004B7D3B" w:rsidP="004B7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Uma breve análise das COAA na UFRJ</w:t>
      </w:r>
    </w:p>
    <w:p w:rsidR="00AE0CB1" w:rsidRPr="004B7D3B" w:rsidRDefault="00AE0CB1" w:rsidP="004B7D3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7D3B">
        <w:rPr>
          <w:rFonts w:ascii="Times New Roman" w:hAnsi="Times New Roman" w:cs="Times New Roman"/>
          <w:b/>
          <w:bCs/>
          <w:sz w:val="24"/>
          <w:szCs w:val="24"/>
        </w:rPr>
        <w:t>Eduardo Henrique Narciso Borges</w:t>
      </w:r>
      <w:r w:rsidRPr="004B7D3B">
        <w:rPr>
          <w:rStyle w:val="Refdenotaderodap"/>
          <w:rFonts w:ascii="Times New Roman" w:hAnsi="Times New Roman" w:cs="Times New Roman"/>
          <w:b/>
          <w:bCs/>
          <w:sz w:val="24"/>
          <w:szCs w:val="24"/>
          <w:lang w:val="en-GB"/>
        </w:rPr>
        <w:footnoteReference w:id="1"/>
      </w:r>
    </w:p>
    <w:p w:rsidR="00E5553A" w:rsidRPr="00FF4106" w:rsidRDefault="00AE0CB1" w:rsidP="004B7D3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ações de acompanhamento acadêmico e apoio peda</w:t>
      </w:r>
      <w:r w:rsidR="00E74FE0">
        <w:rPr>
          <w:rFonts w:ascii="Times New Roman" w:hAnsi="Times New Roman" w:cs="Times New Roman"/>
          <w:sz w:val="24"/>
          <w:szCs w:val="24"/>
        </w:rPr>
        <w:t>gógico d</w:t>
      </w:r>
      <w:r>
        <w:rPr>
          <w:rFonts w:ascii="Times New Roman" w:hAnsi="Times New Roman" w:cs="Times New Roman"/>
          <w:sz w:val="24"/>
          <w:szCs w:val="24"/>
        </w:rPr>
        <w:t>a Universidade Federal do Rio de Janeiro (UFRJ) foram oficialmente</w:t>
      </w:r>
      <w:r w:rsidR="00A31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D1D">
        <w:rPr>
          <w:rFonts w:ascii="Times New Roman" w:hAnsi="Times New Roman" w:cs="Times New Roman"/>
          <w:sz w:val="24"/>
          <w:szCs w:val="24"/>
        </w:rPr>
        <w:t>implementadas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1997 a partir das orientações da Resolução N° 3/97 (BRASIL, 1997) do Conselho de Ensino e Graduação (CEG) que instituiu a Coordenaç</w:t>
      </w:r>
      <w:r w:rsidR="00A31D1D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de Acompanhamento e Orientação Acadêmica (COAA). Este documento foi um marco para a instituição, na medida em que esta assum</w:t>
      </w:r>
      <w:r w:rsidR="00A31D1D">
        <w:rPr>
          <w:rFonts w:ascii="Times New Roman" w:hAnsi="Times New Roman" w:cs="Times New Roman"/>
          <w:sz w:val="24"/>
          <w:szCs w:val="24"/>
        </w:rPr>
        <w:t>iu</w:t>
      </w:r>
      <w:r>
        <w:rPr>
          <w:rFonts w:ascii="Times New Roman" w:hAnsi="Times New Roman" w:cs="Times New Roman"/>
          <w:sz w:val="24"/>
          <w:szCs w:val="24"/>
        </w:rPr>
        <w:t xml:space="preserve"> mai</w:t>
      </w:r>
      <w:r w:rsidR="00902FF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responsabilidade sobre as trajetórias d</w:t>
      </w:r>
      <w:r w:rsidR="00902F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corpo discente e simboliz</w:t>
      </w:r>
      <w:r w:rsidR="00902FF7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o reconhecimento oficial da importância </w:t>
      </w:r>
      <w:r w:rsidR="00902FF7">
        <w:rPr>
          <w:rFonts w:ascii="Times New Roman" w:hAnsi="Times New Roman" w:cs="Times New Roman"/>
          <w:sz w:val="24"/>
          <w:szCs w:val="24"/>
        </w:rPr>
        <w:t>de tratar de</w:t>
      </w:r>
      <w:r>
        <w:rPr>
          <w:rFonts w:ascii="Times New Roman" w:hAnsi="Times New Roman" w:cs="Times New Roman"/>
          <w:sz w:val="24"/>
          <w:szCs w:val="24"/>
        </w:rPr>
        <w:t xml:space="preserve"> problemas relativos à permanência e à evasão.</w:t>
      </w:r>
      <w:r w:rsidR="00D17AEC">
        <w:rPr>
          <w:rFonts w:ascii="Times New Roman" w:hAnsi="Times New Roman" w:cs="Times New Roman"/>
          <w:sz w:val="24"/>
          <w:szCs w:val="24"/>
        </w:rPr>
        <w:t xml:space="preserve"> </w:t>
      </w:r>
      <w:r w:rsidR="00046462">
        <w:rPr>
          <w:rFonts w:ascii="Times New Roman" w:hAnsi="Times New Roman" w:cs="Times New Roman"/>
          <w:sz w:val="24"/>
          <w:szCs w:val="24"/>
        </w:rPr>
        <w:t>Estas têm sido</w:t>
      </w:r>
      <w:r w:rsidR="00A31D1D">
        <w:rPr>
          <w:rFonts w:ascii="Times New Roman" w:hAnsi="Times New Roman" w:cs="Times New Roman"/>
          <w:sz w:val="24"/>
          <w:szCs w:val="24"/>
        </w:rPr>
        <w:t xml:space="preserve"> </w:t>
      </w:r>
      <w:r w:rsidR="00046462">
        <w:rPr>
          <w:rFonts w:ascii="Times New Roman" w:hAnsi="Times New Roman" w:cs="Times New Roman"/>
          <w:sz w:val="24"/>
          <w:szCs w:val="24"/>
        </w:rPr>
        <w:t>questões difíceis com as q</w:t>
      </w:r>
      <w:r w:rsidR="00955370">
        <w:rPr>
          <w:rFonts w:ascii="Times New Roman" w:hAnsi="Times New Roman" w:cs="Times New Roman"/>
          <w:sz w:val="24"/>
          <w:szCs w:val="24"/>
        </w:rPr>
        <w:t>uais os agentes institucionais</w:t>
      </w:r>
      <w:r w:rsidR="0095537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046462">
        <w:rPr>
          <w:rFonts w:ascii="Times New Roman" w:hAnsi="Times New Roman" w:cs="Times New Roman"/>
          <w:sz w:val="24"/>
          <w:szCs w:val="24"/>
        </w:rPr>
        <w:t xml:space="preserve">, estudantes e suas famílias são confrontados, sendo que em grande parte dos casos não é possível </w:t>
      </w:r>
      <w:r w:rsidR="00A31D1D">
        <w:rPr>
          <w:rFonts w:ascii="Times New Roman" w:hAnsi="Times New Roman" w:cs="Times New Roman"/>
          <w:sz w:val="24"/>
          <w:szCs w:val="24"/>
        </w:rPr>
        <w:t>desenvolver</w:t>
      </w:r>
      <w:r w:rsidR="00046462">
        <w:rPr>
          <w:rFonts w:ascii="Times New Roman" w:hAnsi="Times New Roman" w:cs="Times New Roman"/>
          <w:sz w:val="24"/>
          <w:szCs w:val="24"/>
        </w:rPr>
        <w:t xml:space="preserve"> </w:t>
      </w:r>
      <w:r w:rsidR="00A31D1D">
        <w:rPr>
          <w:rFonts w:ascii="Times New Roman" w:hAnsi="Times New Roman" w:cs="Times New Roman"/>
          <w:sz w:val="24"/>
          <w:szCs w:val="24"/>
        </w:rPr>
        <w:t>ações</w:t>
      </w:r>
      <w:r w:rsidR="00046462">
        <w:rPr>
          <w:rFonts w:ascii="Times New Roman" w:hAnsi="Times New Roman" w:cs="Times New Roman"/>
          <w:sz w:val="24"/>
          <w:szCs w:val="24"/>
        </w:rPr>
        <w:t xml:space="preserve"> que resolvam ou amenizem a situação</w:t>
      </w:r>
      <w:r w:rsidR="00955370">
        <w:rPr>
          <w:rFonts w:ascii="Times New Roman" w:hAnsi="Times New Roman" w:cs="Times New Roman"/>
          <w:sz w:val="24"/>
          <w:szCs w:val="24"/>
        </w:rPr>
        <w:t xml:space="preserve"> em curto prazo</w:t>
      </w:r>
      <w:r w:rsidR="00046462">
        <w:rPr>
          <w:rFonts w:ascii="Times New Roman" w:hAnsi="Times New Roman" w:cs="Times New Roman"/>
          <w:sz w:val="24"/>
          <w:szCs w:val="24"/>
        </w:rPr>
        <w:t xml:space="preserve">. A realidade brasileira é marcada por grandes desigualdades no acesso à educação </w:t>
      </w:r>
      <w:r w:rsidR="00955370">
        <w:rPr>
          <w:rFonts w:ascii="Times New Roman" w:hAnsi="Times New Roman" w:cs="Times New Roman"/>
          <w:sz w:val="24"/>
          <w:szCs w:val="24"/>
        </w:rPr>
        <w:t xml:space="preserve">básica </w:t>
      </w:r>
      <w:r w:rsidR="00046462">
        <w:rPr>
          <w:rFonts w:ascii="Times New Roman" w:hAnsi="Times New Roman" w:cs="Times New Roman"/>
          <w:sz w:val="24"/>
          <w:szCs w:val="24"/>
        </w:rPr>
        <w:t xml:space="preserve">de qualidade que geram reflexos no ensino superior </w:t>
      </w:r>
      <w:r w:rsidR="00046462" w:rsidRPr="00E43A78">
        <w:rPr>
          <w:rFonts w:ascii="Times New Roman" w:hAnsi="Times New Roman" w:cs="Times New Roman"/>
          <w:sz w:val="24"/>
          <w:szCs w:val="24"/>
        </w:rPr>
        <w:t>(ZAGO, 2006).</w:t>
      </w:r>
      <w:r w:rsidR="00A31D1D">
        <w:rPr>
          <w:rFonts w:ascii="Times New Roman" w:hAnsi="Times New Roman" w:cs="Times New Roman"/>
          <w:sz w:val="24"/>
          <w:szCs w:val="24"/>
        </w:rPr>
        <w:t xml:space="preserve"> Estudantes oriundos de escolas públicas e de famílias com </w:t>
      </w:r>
      <w:r w:rsidR="00A31D1D" w:rsidRPr="00955370">
        <w:rPr>
          <w:rFonts w:ascii="Times New Roman" w:hAnsi="Times New Roman" w:cs="Times New Roman"/>
          <w:i/>
          <w:sz w:val="24"/>
          <w:szCs w:val="24"/>
        </w:rPr>
        <w:t>backgrounds</w:t>
      </w:r>
      <w:r w:rsidR="00A31D1D">
        <w:rPr>
          <w:rFonts w:ascii="Times New Roman" w:hAnsi="Times New Roman" w:cs="Times New Roman"/>
          <w:sz w:val="24"/>
          <w:szCs w:val="24"/>
        </w:rPr>
        <w:t xml:space="preserve"> educacionais mais modestos tendem a enfrentar maiores dificuldades de adaptação tanto às exigências acadêmicas que destoam do Ensino médio bem como às normas e regras sociais do novo ambiente</w:t>
      </w:r>
      <w:r w:rsidR="00955370">
        <w:rPr>
          <w:rFonts w:ascii="Times New Roman" w:hAnsi="Times New Roman" w:cs="Times New Roman"/>
          <w:sz w:val="24"/>
          <w:szCs w:val="24"/>
        </w:rPr>
        <w:t xml:space="preserve"> (BOURDIEU; PASSERON, 1964)</w:t>
      </w:r>
      <w:r w:rsidR="00A31D1D">
        <w:rPr>
          <w:rFonts w:ascii="Times New Roman" w:hAnsi="Times New Roman" w:cs="Times New Roman"/>
          <w:sz w:val="24"/>
          <w:szCs w:val="24"/>
        </w:rPr>
        <w:t xml:space="preserve">. </w:t>
      </w:r>
      <w:r w:rsidR="00046462">
        <w:rPr>
          <w:rFonts w:ascii="Times New Roman" w:hAnsi="Times New Roman" w:cs="Times New Roman"/>
          <w:sz w:val="24"/>
          <w:szCs w:val="24"/>
        </w:rPr>
        <w:t xml:space="preserve">O objetivo </w:t>
      </w:r>
      <w:r w:rsidR="00D17AEC">
        <w:rPr>
          <w:rFonts w:ascii="Times New Roman" w:hAnsi="Times New Roman" w:cs="Times New Roman"/>
          <w:sz w:val="24"/>
          <w:szCs w:val="24"/>
        </w:rPr>
        <w:t>da pesquisa</w:t>
      </w:r>
      <w:r w:rsidR="00046462">
        <w:rPr>
          <w:rFonts w:ascii="Times New Roman" w:hAnsi="Times New Roman" w:cs="Times New Roman"/>
          <w:sz w:val="24"/>
          <w:szCs w:val="24"/>
        </w:rPr>
        <w:t xml:space="preserve"> é analisar como a UFRJ construiu essas políticas e quais os p</w:t>
      </w:r>
      <w:r w:rsidR="00713DE7">
        <w:rPr>
          <w:rFonts w:ascii="Times New Roman" w:hAnsi="Times New Roman" w:cs="Times New Roman"/>
          <w:sz w:val="24"/>
          <w:szCs w:val="24"/>
        </w:rPr>
        <w:t xml:space="preserve">rincipais dilemas enfrentados para </w:t>
      </w:r>
      <w:proofErr w:type="gramStart"/>
      <w:r w:rsidR="00713DE7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="00713DE7">
        <w:rPr>
          <w:rFonts w:ascii="Times New Roman" w:hAnsi="Times New Roman" w:cs="Times New Roman"/>
          <w:sz w:val="24"/>
          <w:szCs w:val="24"/>
        </w:rPr>
        <w:t xml:space="preserve"> </w:t>
      </w:r>
      <w:r w:rsidR="00046462">
        <w:rPr>
          <w:rFonts w:ascii="Times New Roman" w:hAnsi="Times New Roman" w:cs="Times New Roman"/>
          <w:sz w:val="24"/>
          <w:szCs w:val="24"/>
        </w:rPr>
        <w:t xml:space="preserve">as ações de apoio aos estudantes. Em grande medida a produção acadêmica sobre o tema tem se dedicado intensivamente à questão da assistência estudantil no que se refere </w:t>
      </w:r>
      <w:r w:rsidR="00E5553A">
        <w:rPr>
          <w:rFonts w:ascii="Times New Roman" w:hAnsi="Times New Roman" w:cs="Times New Roman"/>
          <w:sz w:val="24"/>
          <w:szCs w:val="24"/>
        </w:rPr>
        <w:t>à dimensão material de bolsas e auxílios, mas a questão do acompanhamento ainda é pouco explorada (</w:t>
      </w:r>
      <w:r w:rsidR="00E5553A" w:rsidRPr="00E43A78">
        <w:rPr>
          <w:rFonts w:ascii="Times New Roman" w:hAnsi="Times New Roman" w:cs="Times New Roman"/>
          <w:sz w:val="24"/>
          <w:szCs w:val="24"/>
        </w:rPr>
        <w:t xml:space="preserve">NEVES </w:t>
      </w:r>
      <w:r w:rsidR="00E5553A" w:rsidRPr="00E43A78">
        <w:rPr>
          <w:rFonts w:ascii="Times New Roman" w:hAnsi="Times New Roman" w:cs="Times New Roman"/>
          <w:i/>
          <w:sz w:val="24"/>
          <w:szCs w:val="24"/>
        </w:rPr>
        <w:t>et. al.</w:t>
      </w:r>
      <w:r w:rsidR="00E5553A" w:rsidRPr="00E43A78">
        <w:rPr>
          <w:rFonts w:ascii="Times New Roman" w:hAnsi="Times New Roman" w:cs="Times New Roman"/>
          <w:sz w:val="24"/>
          <w:szCs w:val="24"/>
        </w:rPr>
        <w:t xml:space="preserve"> 2018</w:t>
      </w:r>
      <w:r w:rsidR="00E5553A">
        <w:rPr>
          <w:rFonts w:ascii="Times New Roman" w:hAnsi="Times New Roman" w:cs="Times New Roman"/>
          <w:sz w:val="24"/>
          <w:szCs w:val="24"/>
        </w:rPr>
        <w:t xml:space="preserve">). A UFRJ, </w:t>
      </w:r>
      <w:r w:rsidR="00713DE7">
        <w:rPr>
          <w:rFonts w:ascii="Times New Roman" w:hAnsi="Times New Roman" w:cs="Times New Roman"/>
          <w:sz w:val="24"/>
          <w:szCs w:val="24"/>
        </w:rPr>
        <w:t>sendo</w:t>
      </w:r>
      <w:r w:rsidR="00E5553A">
        <w:rPr>
          <w:rFonts w:ascii="Times New Roman" w:hAnsi="Times New Roman" w:cs="Times New Roman"/>
          <w:sz w:val="24"/>
          <w:szCs w:val="24"/>
        </w:rPr>
        <w:t xml:space="preserve"> uma das maiores universidades federais do país, é um caso importante para a análise e permite a construção de questões de pesquisa para o aprofundamento desta discussão. </w:t>
      </w:r>
      <w:r w:rsidR="00A31D1D" w:rsidRPr="00FF4106">
        <w:rPr>
          <w:rFonts w:ascii="Times New Roman" w:hAnsi="Times New Roman" w:cs="Times New Roman"/>
          <w:iCs/>
          <w:sz w:val="24"/>
          <w:szCs w:val="24"/>
        </w:rPr>
        <w:t>O que mais as universidades podem fazer para favorecer a permanência de seus alunos e a conclusão de seus cursos?</w:t>
      </w:r>
    </w:p>
    <w:p w:rsidR="00E5553A" w:rsidRDefault="00E5553A" w:rsidP="004B7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trabalho é desenvolvido a partir de um enfoque multidisciplinar que contempla discussões sobre desiguald</w:t>
      </w:r>
      <w:r w:rsidR="00713DE7">
        <w:rPr>
          <w:rFonts w:ascii="Times New Roman" w:hAnsi="Times New Roman" w:cs="Times New Roman"/>
          <w:sz w:val="24"/>
          <w:szCs w:val="24"/>
        </w:rPr>
        <w:t>ades e estratificação</w:t>
      </w:r>
      <w:r>
        <w:rPr>
          <w:rFonts w:ascii="Times New Roman" w:hAnsi="Times New Roman" w:cs="Times New Roman"/>
          <w:sz w:val="24"/>
          <w:szCs w:val="24"/>
        </w:rPr>
        <w:t xml:space="preserve"> no ensino superior e construção e </w:t>
      </w:r>
      <w:proofErr w:type="gramStart"/>
      <w:r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políticas públicas </w:t>
      </w:r>
      <w:r w:rsidRPr="00E43A78">
        <w:rPr>
          <w:rFonts w:ascii="Times New Roman" w:hAnsi="Times New Roman" w:cs="Times New Roman"/>
          <w:sz w:val="24"/>
          <w:szCs w:val="24"/>
        </w:rPr>
        <w:t>(</w:t>
      </w:r>
      <w:r w:rsidR="00E43A78" w:rsidRPr="00E43A78">
        <w:rPr>
          <w:rFonts w:ascii="Times New Roman" w:hAnsi="Times New Roman" w:cs="Times New Roman"/>
          <w:sz w:val="24"/>
          <w:szCs w:val="24"/>
        </w:rPr>
        <w:t>MARTÍN JAIME</w:t>
      </w:r>
      <w:r w:rsidRPr="00E43A78">
        <w:rPr>
          <w:rFonts w:ascii="Times New Roman" w:hAnsi="Times New Roman" w:cs="Times New Roman"/>
          <w:sz w:val="24"/>
          <w:szCs w:val="24"/>
        </w:rPr>
        <w:t>, 2013)</w:t>
      </w:r>
      <w:r>
        <w:rPr>
          <w:rFonts w:ascii="Times New Roman" w:hAnsi="Times New Roman" w:cs="Times New Roman"/>
          <w:sz w:val="24"/>
          <w:szCs w:val="24"/>
        </w:rPr>
        <w:t>. A partir da revisão bibliográfica e da análise dos dados produzidos pela instituição será possível destacar os principais desafios que a instituição enfrenta no combate à evasão discente. Este é um gr</w:t>
      </w:r>
      <w:r w:rsidR="00C4087E">
        <w:rPr>
          <w:rFonts w:ascii="Times New Roman" w:hAnsi="Times New Roman" w:cs="Times New Roman"/>
          <w:sz w:val="24"/>
          <w:szCs w:val="24"/>
        </w:rPr>
        <w:t>ande problema em todo o mundo</w:t>
      </w:r>
      <w:r w:rsidR="00A31D1D">
        <w:rPr>
          <w:rFonts w:ascii="Times New Roman" w:hAnsi="Times New Roman" w:cs="Times New Roman"/>
          <w:sz w:val="24"/>
          <w:szCs w:val="24"/>
        </w:rPr>
        <w:t xml:space="preserve"> </w:t>
      </w:r>
      <w:r w:rsidR="00C4087E">
        <w:rPr>
          <w:rFonts w:ascii="Times New Roman" w:hAnsi="Times New Roman" w:cs="Times New Roman"/>
          <w:sz w:val="24"/>
          <w:szCs w:val="24"/>
        </w:rPr>
        <w:t xml:space="preserve">e representa prejuízos econômicos e sociais, na medida em que os recursos investidos na formação dos estudantes bem como o esforço despendido pelos mesmos e suas famílias se perdem no momento da evasão. </w:t>
      </w:r>
    </w:p>
    <w:p w:rsidR="004B7D3B" w:rsidRDefault="00A31D1D" w:rsidP="004B7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Partindo do princípio de que r</w:t>
      </w:r>
      <w:r w:rsidR="00C74336" w:rsidRPr="0096231F">
        <w:rPr>
          <w:rFonts w:ascii="Times New Roman" w:hAnsi="Times New Roman" w:cs="Times New Roman"/>
          <w:sz w:val="24"/>
          <w:szCs w:val="24"/>
        </w:rPr>
        <w:t>egras e normas são mecanismos de racionalização das práticas administrativas do cotidiano</w:t>
      </w:r>
      <w:r>
        <w:rPr>
          <w:rFonts w:ascii="Times New Roman" w:hAnsi="Times New Roman" w:cs="Times New Roman"/>
          <w:sz w:val="24"/>
          <w:szCs w:val="24"/>
        </w:rPr>
        <w:t xml:space="preserve"> podemos analisar a forma como as relações sociais se estruturam a partir dos ordenamentos legais que as organizações formulam</w:t>
      </w:r>
      <w:r w:rsidR="00C74336" w:rsidRPr="0096231F">
        <w:rPr>
          <w:rFonts w:ascii="Times New Roman" w:hAnsi="Times New Roman" w:cs="Times New Roman"/>
          <w:sz w:val="24"/>
          <w:szCs w:val="24"/>
        </w:rPr>
        <w:t>. As organizações desenvolvem aparatos burocráticos que buscam garantir a eficiência dos processos por meio da divisão das funções e pela delimitação anterior dos procedimentos (</w:t>
      </w:r>
      <w:r w:rsidR="00C74336" w:rsidRPr="00E43A78">
        <w:rPr>
          <w:rFonts w:ascii="Times New Roman" w:hAnsi="Times New Roman" w:cs="Times New Roman"/>
          <w:sz w:val="24"/>
          <w:szCs w:val="24"/>
        </w:rPr>
        <w:t>WEBER, 1971</w:t>
      </w:r>
      <w:r w:rsidR="00C74336" w:rsidRPr="0096231F">
        <w:rPr>
          <w:rFonts w:ascii="Times New Roman" w:hAnsi="Times New Roman" w:cs="Times New Roman"/>
          <w:sz w:val="24"/>
          <w:szCs w:val="24"/>
        </w:rPr>
        <w:t>). Porém, é de se esperar que a execução apresente diferenças em relação ao idealizado, visto que cada organização enfrenta dilemas e problemas específicos</w:t>
      </w:r>
      <w:r>
        <w:rPr>
          <w:rFonts w:ascii="Times New Roman" w:hAnsi="Times New Roman" w:cs="Times New Roman"/>
          <w:sz w:val="24"/>
          <w:szCs w:val="24"/>
        </w:rPr>
        <w:t xml:space="preserve"> que podem escapar à análise dos </w:t>
      </w:r>
      <w:proofErr w:type="spellStart"/>
      <w:r w:rsidRPr="00A31D1D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 w:rsidRPr="00A31D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3DE7" w:rsidRPr="00A31D1D">
        <w:rPr>
          <w:rFonts w:ascii="Times New Roman" w:hAnsi="Times New Roman" w:cs="Times New Roman"/>
          <w:i/>
          <w:iCs/>
          <w:sz w:val="24"/>
          <w:szCs w:val="24"/>
        </w:rPr>
        <w:t>makers</w:t>
      </w:r>
      <w:proofErr w:type="spellEnd"/>
      <w:r w:rsidR="00C74336" w:rsidRPr="0096231F">
        <w:rPr>
          <w:rFonts w:ascii="Times New Roman" w:hAnsi="Times New Roman" w:cs="Times New Roman"/>
          <w:sz w:val="24"/>
          <w:szCs w:val="24"/>
        </w:rPr>
        <w:t xml:space="preserve">. O mérito da análise é indicar as causas desses problemas e possíveis estratégias de abordagem dos mesmos para além da perspectiva </w:t>
      </w:r>
      <w:proofErr w:type="spellStart"/>
      <w:r w:rsidR="00C74336" w:rsidRPr="0096231F">
        <w:rPr>
          <w:rFonts w:ascii="Times New Roman" w:hAnsi="Times New Roman" w:cs="Times New Roman"/>
          <w:sz w:val="24"/>
          <w:szCs w:val="24"/>
        </w:rPr>
        <w:t>gerencialista</w:t>
      </w:r>
      <w:proofErr w:type="spellEnd"/>
      <w:r w:rsidR="00C74336" w:rsidRPr="0096231F">
        <w:rPr>
          <w:rFonts w:ascii="Times New Roman" w:hAnsi="Times New Roman" w:cs="Times New Roman"/>
          <w:sz w:val="24"/>
          <w:szCs w:val="24"/>
        </w:rPr>
        <w:t xml:space="preserve"> (</w:t>
      </w:r>
      <w:r w:rsidR="00C74336" w:rsidRPr="00E43A78">
        <w:rPr>
          <w:rFonts w:ascii="Times New Roman" w:hAnsi="Times New Roman" w:cs="Times New Roman"/>
          <w:sz w:val="24"/>
          <w:szCs w:val="24"/>
        </w:rPr>
        <w:t xml:space="preserve">BALBACHEVSKY </w:t>
      </w:r>
      <w:r w:rsidR="00C74336" w:rsidRPr="00E43A78">
        <w:rPr>
          <w:rFonts w:ascii="Times New Roman" w:hAnsi="Times New Roman" w:cs="Times New Roman"/>
          <w:i/>
          <w:sz w:val="24"/>
          <w:szCs w:val="24"/>
        </w:rPr>
        <w:t>et. al.</w:t>
      </w:r>
      <w:r w:rsidR="00C74336" w:rsidRPr="00E43A78">
        <w:rPr>
          <w:rFonts w:ascii="Times New Roman" w:hAnsi="Times New Roman" w:cs="Times New Roman"/>
          <w:sz w:val="24"/>
          <w:szCs w:val="24"/>
        </w:rPr>
        <w:t>, 2019</w:t>
      </w:r>
      <w:r w:rsidR="00C74336" w:rsidRPr="0096231F">
        <w:rPr>
          <w:rFonts w:ascii="Times New Roman" w:hAnsi="Times New Roman" w:cs="Times New Roman"/>
          <w:sz w:val="24"/>
          <w:szCs w:val="24"/>
        </w:rPr>
        <w:t>) buscando compreender os componentes subjetivos das interações sociais.</w:t>
      </w:r>
    </w:p>
    <w:p w:rsidR="00B53759" w:rsidRDefault="00B53759" w:rsidP="004B7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759">
        <w:rPr>
          <w:rFonts w:ascii="Times New Roman" w:hAnsi="Times New Roman" w:cs="Times New Roman"/>
          <w:sz w:val="24"/>
          <w:szCs w:val="24"/>
        </w:rPr>
        <w:t>A literatura</w:t>
      </w:r>
      <w:r>
        <w:rPr>
          <w:rFonts w:ascii="Times New Roman" w:hAnsi="Times New Roman" w:cs="Times New Roman"/>
          <w:sz w:val="24"/>
          <w:szCs w:val="24"/>
        </w:rPr>
        <w:t xml:space="preserve"> tem</w:t>
      </w:r>
      <w:r w:rsidRPr="00B53759">
        <w:rPr>
          <w:rFonts w:ascii="Times New Roman" w:hAnsi="Times New Roman" w:cs="Times New Roman"/>
          <w:sz w:val="24"/>
          <w:szCs w:val="24"/>
        </w:rPr>
        <w:t xml:space="preserve"> aponta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B53759">
        <w:rPr>
          <w:rFonts w:ascii="Times New Roman" w:hAnsi="Times New Roman" w:cs="Times New Roman"/>
          <w:sz w:val="24"/>
          <w:szCs w:val="24"/>
        </w:rPr>
        <w:t xml:space="preserve"> dificuldades que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53759">
        <w:rPr>
          <w:rFonts w:ascii="Times New Roman" w:hAnsi="Times New Roman" w:cs="Times New Roman"/>
          <w:sz w:val="24"/>
          <w:szCs w:val="24"/>
        </w:rPr>
        <w:t xml:space="preserve"> processo</w:t>
      </w:r>
      <w:r>
        <w:rPr>
          <w:rFonts w:ascii="Times New Roman" w:hAnsi="Times New Roman" w:cs="Times New Roman"/>
          <w:sz w:val="24"/>
          <w:szCs w:val="24"/>
        </w:rPr>
        <w:t xml:space="preserve"> de expansão do ensino superior</w:t>
      </w:r>
      <w:r w:rsidRPr="00B53759">
        <w:rPr>
          <w:rFonts w:ascii="Times New Roman" w:hAnsi="Times New Roman" w:cs="Times New Roman"/>
          <w:sz w:val="24"/>
          <w:szCs w:val="24"/>
        </w:rPr>
        <w:t xml:space="preserve"> tem </w:t>
      </w:r>
      <w:r>
        <w:rPr>
          <w:rFonts w:ascii="Times New Roman" w:hAnsi="Times New Roman" w:cs="Times New Roman"/>
          <w:sz w:val="24"/>
          <w:szCs w:val="24"/>
        </w:rPr>
        <w:t>enfrentado</w:t>
      </w:r>
      <w:r w:rsidRPr="00B53759">
        <w:rPr>
          <w:rFonts w:ascii="Times New Roman" w:hAnsi="Times New Roman" w:cs="Times New Roman"/>
          <w:sz w:val="24"/>
          <w:szCs w:val="24"/>
        </w:rPr>
        <w:t xml:space="preserve"> </w:t>
      </w:r>
      <w:r w:rsidR="00AC69EC">
        <w:rPr>
          <w:rFonts w:ascii="Times New Roman" w:hAnsi="Times New Roman" w:cs="Times New Roman"/>
          <w:sz w:val="24"/>
          <w:szCs w:val="24"/>
        </w:rPr>
        <w:t xml:space="preserve">no Brasil </w:t>
      </w:r>
      <w:r w:rsidRPr="00B53759">
        <w:rPr>
          <w:rFonts w:ascii="Times New Roman" w:hAnsi="Times New Roman" w:cs="Times New Roman"/>
          <w:sz w:val="24"/>
          <w:szCs w:val="24"/>
        </w:rPr>
        <w:t>(</w:t>
      </w:r>
      <w:r w:rsidRPr="001A3277">
        <w:rPr>
          <w:rFonts w:ascii="Times New Roman" w:hAnsi="Times New Roman" w:cs="Times New Roman"/>
          <w:sz w:val="24"/>
          <w:szCs w:val="24"/>
        </w:rPr>
        <w:t>D</w:t>
      </w:r>
      <w:r w:rsidR="00A92A40">
        <w:rPr>
          <w:rFonts w:ascii="Times New Roman" w:hAnsi="Times New Roman" w:cs="Times New Roman"/>
          <w:sz w:val="24"/>
          <w:szCs w:val="24"/>
        </w:rPr>
        <w:t>’</w:t>
      </w:r>
      <w:r w:rsidRPr="001A3277">
        <w:rPr>
          <w:rFonts w:ascii="Times New Roman" w:hAnsi="Times New Roman" w:cs="Times New Roman"/>
          <w:sz w:val="24"/>
          <w:szCs w:val="24"/>
        </w:rPr>
        <w:t xml:space="preserve">ÁVILA </w:t>
      </w:r>
      <w:r w:rsidRPr="001A3277">
        <w:rPr>
          <w:rFonts w:ascii="Times New Roman" w:hAnsi="Times New Roman" w:cs="Times New Roman"/>
          <w:i/>
          <w:sz w:val="24"/>
          <w:szCs w:val="24"/>
        </w:rPr>
        <w:t>et. al.</w:t>
      </w:r>
      <w:r w:rsidRPr="001A3277">
        <w:rPr>
          <w:rFonts w:ascii="Times New Roman" w:hAnsi="Times New Roman" w:cs="Times New Roman"/>
          <w:sz w:val="24"/>
          <w:szCs w:val="24"/>
        </w:rPr>
        <w:t xml:space="preserve">, 2011; HERINGER, 2013, 2015; HERINGER; VARGAS, 2017; </w:t>
      </w:r>
      <w:proofErr w:type="spellStart"/>
      <w:r w:rsidRPr="001A3277">
        <w:rPr>
          <w:rFonts w:ascii="Times New Roman" w:hAnsi="Times New Roman" w:cs="Times New Roman"/>
          <w:sz w:val="24"/>
          <w:szCs w:val="24"/>
        </w:rPr>
        <w:t>MONT’ALVÃO</w:t>
      </w:r>
      <w:proofErr w:type="spellEnd"/>
      <w:r w:rsidRPr="001A3277">
        <w:rPr>
          <w:rFonts w:ascii="Times New Roman" w:hAnsi="Times New Roman" w:cs="Times New Roman"/>
          <w:sz w:val="24"/>
          <w:szCs w:val="24"/>
        </w:rPr>
        <w:t>, 2015</w:t>
      </w:r>
      <w:r w:rsidRPr="00B53759">
        <w:rPr>
          <w:rFonts w:ascii="Times New Roman" w:hAnsi="Times New Roman" w:cs="Times New Roman"/>
          <w:sz w:val="24"/>
          <w:szCs w:val="24"/>
        </w:rPr>
        <w:t xml:space="preserve">). O Programa de Apoio a Planos de Reestruturação </w:t>
      </w:r>
      <w:r w:rsidR="002E13AA">
        <w:rPr>
          <w:rFonts w:ascii="Times New Roman" w:hAnsi="Times New Roman" w:cs="Times New Roman"/>
          <w:sz w:val="24"/>
          <w:szCs w:val="24"/>
        </w:rPr>
        <w:t xml:space="preserve">e Expansão </w:t>
      </w:r>
      <w:r w:rsidRPr="00B53759">
        <w:rPr>
          <w:rFonts w:ascii="Times New Roman" w:hAnsi="Times New Roman" w:cs="Times New Roman"/>
          <w:sz w:val="24"/>
          <w:szCs w:val="24"/>
        </w:rPr>
        <w:t>das Universidades Federais (REUNI), a política de ação afirmativa concretizada pela Lei 12.711/12 (BRASIL, 2012), o Programa Universidade para Todos (PROUNI) e a expansão do Financiamento Estudantil (FIES) trouxeram para o interior do sistema muitos estudantes que são os primeiros de suas famílias a cursar o ensino superior. Além disso, novos desafios foram colocados para as instituições.</w:t>
      </w:r>
    </w:p>
    <w:p w:rsidR="00B53759" w:rsidRDefault="00B53759" w:rsidP="004B7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78">
        <w:rPr>
          <w:rFonts w:ascii="Times New Roman" w:hAnsi="Times New Roman" w:cs="Times New Roman"/>
          <w:sz w:val="24"/>
          <w:szCs w:val="24"/>
        </w:rPr>
        <w:t>A Lei 10.861/04 (BRASIL, 2004)</w:t>
      </w:r>
      <w:r w:rsidRPr="00B53759">
        <w:rPr>
          <w:rFonts w:ascii="Times New Roman" w:hAnsi="Times New Roman" w:cs="Times New Roman"/>
          <w:sz w:val="24"/>
          <w:szCs w:val="24"/>
        </w:rPr>
        <w:t xml:space="preserve"> instituiu o Sistema Nacional de Avaliação do Ensino Superior (SINAES) que entre suas </w:t>
      </w:r>
      <w:r w:rsidR="00A92A40">
        <w:rPr>
          <w:rFonts w:ascii="Times New Roman" w:hAnsi="Times New Roman" w:cs="Times New Roman"/>
          <w:sz w:val="24"/>
          <w:szCs w:val="24"/>
        </w:rPr>
        <w:t>atribuições</w:t>
      </w:r>
      <w:r w:rsidRPr="00B53759">
        <w:rPr>
          <w:rFonts w:ascii="Times New Roman" w:hAnsi="Times New Roman" w:cs="Times New Roman"/>
          <w:sz w:val="24"/>
          <w:szCs w:val="24"/>
        </w:rPr>
        <w:t xml:space="preserve"> </w:t>
      </w:r>
      <w:r w:rsidR="00AC69EC">
        <w:rPr>
          <w:rFonts w:ascii="Times New Roman" w:hAnsi="Times New Roman" w:cs="Times New Roman"/>
          <w:sz w:val="24"/>
          <w:szCs w:val="24"/>
        </w:rPr>
        <w:t>está</w:t>
      </w:r>
      <w:r w:rsidRPr="00B53759">
        <w:rPr>
          <w:rFonts w:ascii="Times New Roman" w:hAnsi="Times New Roman" w:cs="Times New Roman"/>
          <w:sz w:val="24"/>
          <w:szCs w:val="24"/>
        </w:rPr>
        <w:t xml:space="preserve"> o atendimento aos discentes e o estímulo à permanência como uma tentativa de responder </w:t>
      </w:r>
      <w:r w:rsidR="00AC69EC">
        <w:rPr>
          <w:rFonts w:ascii="Times New Roman" w:hAnsi="Times New Roman" w:cs="Times New Roman"/>
          <w:sz w:val="24"/>
          <w:szCs w:val="24"/>
        </w:rPr>
        <w:t>a</w:t>
      </w:r>
      <w:r w:rsidRPr="00B53759">
        <w:rPr>
          <w:rFonts w:ascii="Times New Roman" w:hAnsi="Times New Roman" w:cs="Times New Roman"/>
          <w:sz w:val="24"/>
          <w:szCs w:val="24"/>
        </w:rPr>
        <w:t xml:space="preserve"> </w:t>
      </w:r>
      <w:r w:rsidR="00AC69EC">
        <w:rPr>
          <w:rFonts w:ascii="Times New Roman" w:hAnsi="Times New Roman" w:cs="Times New Roman"/>
          <w:sz w:val="24"/>
          <w:szCs w:val="24"/>
        </w:rPr>
        <w:t>demandas sociais</w:t>
      </w:r>
      <w:r w:rsidRPr="00B53759">
        <w:rPr>
          <w:rFonts w:ascii="Times New Roman" w:hAnsi="Times New Roman" w:cs="Times New Roman"/>
          <w:sz w:val="24"/>
          <w:szCs w:val="24"/>
        </w:rPr>
        <w:t xml:space="preserve"> e sustentar o processo de expansão e democratização do perfil do corpo discente. Seguindo </w:t>
      </w:r>
      <w:r w:rsidR="00AC69EC">
        <w:rPr>
          <w:rFonts w:ascii="Times New Roman" w:hAnsi="Times New Roman" w:cs="Times New Roman"/>
          <w:sz w:val="24"/>
          <w:szCs w:val="24"/>
        </w:rPr>
        <w:t xml:space="preserve">a </w:t>
      </w:r>
      <w:r w:rsidR="00AC69EC">
        <w:rPr>
          <w:rFonts w:ascii="Times New Roman" w:hAnsi="Times New Roman" w:cs="Times New Roman"/>
          <w:sz w:val="24"/>
          <w:szCs w:val="24"/>
        </w:rPr>
        <w:lastRenderedPageBreak/>
        <w:t>mesma lógica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43A78">
        <w:rPr>
          <w:rFonts w:ascii="Times New Roman" w:hAnsi="Times New Roman" w:cs="Times New Roman"/>
          <w:sz w:val="24"/>
          <w:szCs w:val="24"/>
        </w:rPr>
        <w:t>Portaria normativa N° 39/2007</w:t>
      </w:r>
      <w:r>
        <w:rPr>
          <w:rFonts w:ascii="Times New Roman" w:hAnsi="Times New Roman" w:cs="Times New Roman"/>
          <w:sz w:val="24"/>
          <w:szCs w:val="24"/>
        </w:rPr>
        <w:t xml:space="preserve"> (BRASIL, 2007)</w:t>
      </w:r>
      <w:r w:rsidR="002F2AD3">
        <w:rPr>
          <w:rFonts w:ascii="Times New Roman" w:hAnsi="Times New Roman" w:cs="Times New Roman"/>
          <w:sz w:val="24"/>
          <w:szCs w:val="24"/>
        </w:rPr>
        <w:t xml:space="preserve"> </w:t>
      </w:r>
      <w:r w:rsidR="00A92A40">
        <w:rPr>
          <w:rFonts w:ascii="Times New Roman" w:hAnsi="Times New Roman" w:cs="Times New Roman"/>
          <w:sz w:val="24"/>
          <w:szCs w:val="24"/>
        </w:rPr>
        <w:t>do Ministério da Educação (MEC)</w:t>
      </w:r>
      <w:r w:rsidRPr="00B53759">
        <w:rPr>
          <w:rFonts w:ascii="Times New Roman" w:hAnsi="Times New Roman" w:cs="Times New Roman"/>
          <w:sz w:val="24"/>
          <w:szCs w:val="24"/>
        </w:rPr>
        <w:t xml:space="preserve"> instituiu o Programa Nacional de Assistê</w:t>
      </w:r>
      <w:r>
        <w:rPr>
          <w:rFonts w:ascii="Times New Roman" w:hAnsi="Times New Roman" w:cs="Times New Roman"/>
          <w:sz w:val="24"/>
          <w:szCs w:val="24"/>
        </w:rPr>
        <w:t xml:space="preserve">ncia Estudantil (PNAES) dedicado unicamente </w:t>
      </w:r>
      <w:r w:rsidRPr="00B53759">
        <w:rPr>
          <w:rFonts w:ascii="Times New Roman" w:hAnsi="Times New Roman" w:cs="Times New Roman"/>
          <w:sz w:val="24"/>
          <w:szCs w:val="24"/>
        </w:rPr>
        <w:t>à assistência e permanência estudantil.</w:t>
      </w:r>
    </w:p>
    <w:p w:rsidR="00B53759" w:rsidRDefault="00B53759" w:rsidP="004B7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759">
        <w:rPr>
          <w:rFonts w:ascii="Times New Roman" w:hAnsi="Times New Roman" w:cs="Times New Roman"/>
          <w:sz w:val="24"/>
          <w:szCs w:val="24"/>
        </w:rPr>
        <w:t xml:space="preserve">A passagem pelo ensino superior exige sacrifício pessoal e familiar a todos os estudantes, independentemente da renda, dependência administrativa ou tipo de instituição </w:t>
      </w:r>
      <w:r w:rsidR="00AC69EC">
        <w:rPr>
          <w:rFonts w:ascii="Times New Roman" w:hAnsi="Times New Roman" w:cs="Times New Roman"/>
          <w:sz w:val="24"/>
          <w:szCs w:val="24"/>
        </w:rPr>
        <w:t>que frequente</w:t>
      </w:r>
      <w:r w:rsidRPr="00B53759">
        <w:rPr>
          <w:rFonts w:ascii="Times New Roman" w:hAnsi="Times New Roman" w:cs="Times New Roman"/>
          <w:sz w:val="24"/>
          <w:szCs w:val="24"/>
        </w:rPr>
        <w:t>, mas tende a ser ainda mais difícil para aqueles com menores capitais econômicos, sociais e culturais (</w:t>
      </w:r>
      <w:r w:rsidRPr="00A92A40">
        <w:rPr>
          <w:rFonts w:ascii="Times New Roman" w:hAnsi="Times New Roman" w:cs="Times New Roman"/>
          <w:sz w:val="24"/>
          <w:szCs w:val="24"/>
        </w:rPr>
        <w:t>PORTES, 2001; ALMEIDA, 2009; PIOTTO, 2014</w:t>
      </w:r>
      <w:r w:rsidRPr="00B53759">
        <w:rPr>
          <w:rFonts w:ascii="Times New Roman" w:hAnsi="Times New Roman" w:cs="Times New Roman"/>
          <w:sz w:val="24"/>
          <w:szCs w:val="24"/>
        </w:rPr>
        <w:t xml:space="preserve">). O fracasso no ensino superior tende a ser ainda mais </w:t>
      </w:r>
      <w:proofErr w:type="spellStart"/>
      <w:r w:rsidRPr="00B53759">
        <w:rPr>
          <w:rFonts w:ascii="Times New Roman" w:hAnsi="Times New Roman" w:cs="Times New Roman"/>
          <w:sz w:val="24"/>
          <w:szCs w:val="24"/>
        </w:rPr>
        <w:t>estigmatizante</w:t>
      </w:r>
      <w:proofErr w:type="spellEnd"/>
      <w:r w:rsidRPr="00B53759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>os mais pobres</w:t>
      </w:r>
      <w:r w:rsidRPr="00B53759">
        <w:rPr>
          <w:rFonts w:ascii="Times New Roman" w:hAnsi="Times New Roman" w:cs="Times New Roman"/>
          <w:sz w:val="24"/>
          <w:szCs w:val="24"/>
        </w:rPr>
        <w:t xml:space="preserve">, pois existe a imagem socialmente construída de que tiveram acesso a oportunidades 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53759">
        <w:rPr>
          <w:rFonts w:ascii="Times New Roman" w:hAnsi="Times New Roman" w:cs="Times New Roman"/>
          <w:sz w:val="24"/>
          <w:szCs w:val="24"/>
        </w:rPr>
        <w:t>não souberam aproveitá-las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53759">
        <w:rPr>
          <w:rFonts w:ascii="Times New Roman" w:hAnsi="Times New Roman" w:cs="Times New Roman"/>
          <w:sz w:val="24"/>
          <w:szCs w:val="24"/>
        </w:rPr>
        <w:t xml:space="preserve"> </w:t>
      </w:r>
      <w:r w:rsidR="002F2AD3">
        <w:rPr>
          <w:rFonts w:ascii="Times New Roman" w:hAnsi="Times New Roman" w:cs="Times New Roman"/>
          <w:sz w:val="24"/>
          <w:szCs w:val="24"/>
        </w:rPr>
        <w:t xml:space="preserve">ou que “não mereciam ter ingressado” </w:t>
      </w:r>
      <w:r w:rsidRPr="00B53759">
        <w:rPr>
          <w:rFonts w:ascii="Times New Roman" w:hAnsi="Times New Roman" w:cs="Times New Roman"/>
          <w:sz w:val="24"/>
          <w:szCs w:val="24"/>
        </w:rPr>
        <w:t xml:space="preserve">(BORGES, 2017). </w:t>
      </w:r>
    </w:p>
    <w:p w:rsidR="00B53759" w:rsidRDefault="00B53759" w:rsidP="004B7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759">
        <w:rPr>
          <w:rFonts w:ascii="Times New Roman" w:hAnsi="Times New Roman" w:cs="Times New Roman"/>
          <w:sz w:val="24"/>
          <w:szCs w:val="24"/>
        </w:rPr>
        <w:t>Dessa maneira, políticas de acompanhamento acadêmico</w:t>
      </w:r>
      <w:r>
        <w:rPr>
          <w:rFonts w:ascii="Times New Roman" w:hAnsi="Times New Roman" w:cs="Times New Roman"/>
          <w:sz w:val="24"/>
          <w:szCs w:val="24"/>
        </w:rPr>
        <w:t xml:space="preserve"> e apoio pedagógico</w:t>
      </w:r>
      <w:r w:rsidRPr="00B53759">
        <w:rPr>
          <w:rFonts w:ascii="Times New Roman" w:hAnsi="Times New Roman" w:cs="Times New Roman"/>
          <w:sz w:val="24"/>
          <w:szCs w:val="24"/>
        </w:rPr>
        <w:t xml:space="preserve"> dos discentes no ensino superior são importantes para todos os perfis de estudantes (</w:t>
      </w:r>
      <w:r w:rsidRPr="00E43A78">
        <w:rPr>
          <w:rFonts w:ascii="Times New Roman" w:hAnsi="Times New Roman" w:cs="Times New Roman"/>
          <w:sz w:val="24"/>
          <w:szCs w:val="24"/>
        </w:rPr>
        <w:t xml:space="preserve">ROLAND </w:t>
      </w:r>
      <w:r w:rsidRPr="00E43A78">
        <w:rPr>
          <w:rFonts w:ascii="Times New Roman" w:hAnsi="Times New Roman" w:cs="Times New Roman"/>
          <w:i/>
          <w:sz w:val="24"/>
          <w:szCs w:val="24"/>
        </w:rPr>
        <w:t>et. al.</w:t>
      </w:r>
      <w:r w:rsidRPr="00E43A78">
        <w:rPr>
          <w:rFonts w:ascii="Times New Roman" w:hAnsi="Times New Roman" w:cs="Times New Roman"/>
          <w:sz w:val="24"/>
          <w:szCs w:val="24"/>
        </w:rPr>
        <w:t>, 2016)</w:t>
      </w:r>
      <w:r w:rsidR="002F2AD3">
        <w:rPr>
          <w:rFonts w:ascii="Times New Roman" w:hAnsi="Times New Roman" w:cs="Times New Roman"/>
          <w:sz w:val="24"/>
          <w:szCs w:val="24"/>
        </w:rPr>
        <w:t xml:space="preserve">, mas se tornam </w:t>
      </w:r>
      <w:r w:rsidR="00FF44AF">
        <w:rPr>
          <w:rFonts w:ascii="Times New Roman" w:hAnsi="Times New Roman" w:cs="Times New Roman"/>
          <w:sz w:val="24"/>
          <w:szCs w:val="24"/>
        </w:rPr>
        <w:t>essenciais</w:t>
      </w:r>
      <w:r w:rsidR="002F2AD3">
        <w:rPr>
          <w:rFonts w:ascii="Times New Roman" w:hAnsi="Times New Roman" w:cs="Times New Roman"/>
          <w:sz w:val="24"/>
          <w:szCs w:val="24"/>
        </w:rPr>
        <w:t xml:space="preserve"> para os estudantes mais vulneráveis socialmente</w:t>
      </w:r>
      <w:r w:rsidRPr="00B53759">
        <w:rPr>
          <w:rFonts w:ascii="Times New Roman" w:hAnsi="Times New Roman" w:cs="Times New Roman"/>
          <w:sz w:val="24"/>
          <w:szCs w:val="24"/>
        </w:rPr>
        <w:t>. As políticas são compostas por uma série de iniciativas que visam acompanhar o desempenho dos estudantes nas disciplinas e auxiliá-los em sua inserção à vida universitária. A ideia de integração se relaciona ao ideal de que a experiência dos indivíd</w:t>
      </w:r>
      <w:r w:rsidR="00FF44AF">
        <w:rPr>
          <w:rFonts w:ascii="Times New Roman" w:hAnsi="Times New Roman" w:cs="Times New Roman"/>
          <w:sz w:val="24"/>
          <w:szCs w:val="24"/>
        </w:rPr>
        <w:t>uos não se resume</w:t>
      </w:r>
      <w:r w:rsidRPr="00B53759">
        <w:rPr>
          <w:rFonts w:ascii="Times New Roman" w:hAnsi="Times New Roman" w:cs="Times New Roman"/>
          <w:sz w:val="24"/>
          <w:szCs w:val="24"/>
        </w:rPr>
        <w:t xml:space="preserve"> ao espaço da sala de aula, mas </w:t>
      </w:r>
      <w:r w:rsidR="00AC69EC">
        <w:rPr>
          <w:rFonts w:ascii="Times New Roman" w:hAnsi="Times New Roman" w:cs="Times New Roman"/>
          <w:sz w:val="24"/>
          <w:szCs w:val="24"/>
        </w:rPr>
        <w:t>que se estenda a outros campos</w:t>
      </w:r>
      <w:r w:rsidRPr="00B53759">
        <w:rPr>
          <w:rFonts w:ascii="Times New Roman" w:hAnsi="Times New Roman" w:cs="Times New Roman"/>
          <w:sz w:val="24"/>
          <w:szCs w:val="24"/>
        </w:rPr>
        <w:t xml:space="preserve"> como a pesquisa, extensão, es</w:t>
      </w:r>
      <w:r w:rsidR="00AC69EC">
        <w:rPr>
          <w:rFonts w:ascii="Times New Roman" w:hAnsi="Times New Roman" w:cs="Times New Roman"/>
          <w:sz w:val="24"/>
          <w:szCs w:val="24"/>
        </w:rPr>
        <w:t>tágios remunerados, dentre outros</w:t>
      </w:r>
      <w:r w:rsidRPr="00B53759">
        <w:rPr>
          <w:rFonts w:ascii="Times New Roman" w:hAnsi="Times New Roman" w:cs="Times New Roman"/>
          <w:sz w:val="24"/>
          <w:szCs w:val="24"/>
        </w:rPr>
        <w:t>. Também abrangem assistência psicológica e social. É preciso destacar</w:t>
      </w:r>
      <w:r w:rsidR="002F2AD3">
        <w:rPr>
          <w:rFonts w:ascii="Times New Roman" w:hAnsi="Times New Roman" w:cs="Times New Roman"/>
          <w:sz w:val="24"/>
          <w:szCs w:val="24"/>
        </w:rPr>
        <w:t xml:space="preserve"> mais uma vez</w:t>
      </w:r>
      <w:r w:rsidRPr="00B53759">
        <w:rPr>
          <w:rFonts w:ascii="Times New Roman" w:hAnsi="Times New Roman" w:cs="Times New Roman"/>
          <w:sz w:val="24"/>
          <w:szCs w:val="24"/>
        </w:rPr>
        <w:t xml:space="preserve"> que as políticas de acompanhamento acadêmico ultrapassam a questão da assistência material (oferta de bolsas de assistência e auxílio transporte)</w:t>
      </w:r>
      <w:r w:rsidR="002F2AD3">
        <w:rPr>
          <w:rFonts w:ascii="Times New Roman" w:hAnsi="Times New Roman" w:cs="Times New Roman"/>
          <w:sz w:val="24"/>
          <w:szCs w:val="24"/>
        </w:rPr>
        <w:t>.</w:t>
      </w:r>
    </w:p>
    <w:p w:rsidR="00843340" w:rsidRDefault="00B53759" w:rsidP="004B7D3B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31F">
        <w:rPr>
          <w:rFonts w:ascii="Times New Roman" w:hAnsi="Times New Roman" w:cs="Times New Roman"/>
          <w:sz w:val="24"/>
          <w:szCs w:val="24"/>
        </w:rPr>
        <w:t xml:space="preserve">A Universidade Federal do Rio de Janeiro (UFRJ) </w:t>
      </w:r>
      <w:r>
        <w:rPr>
          <w:rFonts w:ascii="Times New Roman" w:hAnsi="Times New Roman" w:cs="Times New Roman"/>
          <w:sz w:val="24"/>
          <w:szCs w:val="24"/>
        </w:rPr>
        <w:t xml:space="preserve">é uma instituição que </w:t>
      </w:r>
      <w:r w:rsidR="00AC69EC">
        <w:rPr>
          <w:rFonts w:ascii="Times New Roman" w:hAnsi="Times New Roman" w:cs="Times New Roman"/>
          <w:sz w:val="24"/>
          <w:szCs w:val="24"/>
        </w:rPr>
        <w:t xml:space="preserve">possui </w:t>
      </w:r>
      <w:r>
        <w:rPr>
          <w:rFonts w:ascii="Times New Roman" w:hAnsi="Times New Roman" w:cs="Times New Roman"/>
          <w:sz w:val="24"/>
          <w:szCs w:val="24"/>
        </w:rPr>
        <w:t xml:space="preserve">grande prestígio no campo acadêmico e científico </w:t>
      </w:r>
      <w:r w:rsidR="00AC69EC">
        <w:rPr>
          <w:rFonts w:ascii="Times New Roman" w:hAnsi="Times New Roman" w:cs="Times New Roman"/>
          <w:sz w:val="24"/>
          <w:szCs w:val="24"/>
        </w:rPr>
        <w:t>brasileiro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231F">
        <w:rPr>
          <w:rFonts w:ascii="Times New Roman" w:hAnsi="Times New Roman" w:cs="Times New Roman"/>
          <w:sz w:val="24"/>
          <w:szCs w:val="24"/>
        </w:rPr>
        <w:t xml:space="preserve"> Foi fundada em 1930, à época como Universidade do Brasil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A78">
        <w:rPr>
          <w:rFonts w:ascii="Times New Roman" w:hAnsi="Times New Roman" w:cs="Times New Roman"/>
          <w:sz w:val="24"/>
          <w:szCs w:val="24"/>
        </w:rPr>
        <w:t>(TEIXEIRA, 2010)</w:t>
      </w:r>
      <w:r w:rsidR="002F2AD3">
        <w:rPr>
          <w:rFonts w:ascii="Times New Roman" w:hAnsi="Times New Roman" w:cs="Times New Roman"/>
          <w:sz w:val="24"/>
          <w:szCs w:val="24"/>
        </w:rPr>
        <w:t xml:space="preserve"> e </w:t>
      </w:r>
      <w:r w:rsidRPr="0096231F">
        <w:rPr>
          <w:rFonts w:ascii="Times New Roman" w:hAnsi="Times New Roman" w:cs="Times New Roman"/>
          <w:sz w:val="24"/>
          <w:szCs w:val="24"/>
        </w:rPr>
        <w:t>s</w:t>
      </w:r>
      <w:r w:rsidR="002F2AD3">
        <w:rPr>
          <w:rFonts w:ascii="Times New Roman" w:hAnsi="Times New Roman" w:cs="Times New Roman"/>
          <w:sz w:val="24"/>
          <w:szCs w:val="24"/>
        </w:rPr>
        <w:t>ua sede se</w:t>
      </w:r>
      <w:r w:rsidRPr="0096231F">
        <w:rPr>
          <w:rFonts w:ascii="Times New Roman" w:hAnsi="Times New Roman" w:cs="Times New Roman"/>
          <w:sz w:val="24"/>
          <w:szCs w:val="24"/>
        </w:rPr>
        <w:t xml:space="preserve"> localiza no município do Rio de Janeiro</w:t>
      </w:r>
      <w:r w:rsidR="002F2AD3">
        <w:rPr>
          <w:rFonts w:ascii="Times New Roman" w:hAnsi="Times New Roman" w:cs="Times New Roman"/>
          <w:sz w:val="24"/>
          <w:szCs w:val="24"/>
        </w:rPr>
        <w:t>. P</w:t>
      </w:r>
      <w:r w:rsidRPr="0096231F">
        <w:rPr>
          <w:rFonts w:ascii="Times New Roman" w:hAnsi="Times New Roman" w:cs="Times New Roman"/>
          <w:sz w:val="24"/>
          <w:szCs w:val="24"/>
        </w:rPr>
        <w:t xml:space="preserve">ossui </w:t>
      </w:r>
      <w:r w:rsidRPr="00843340">
        <w:rPr>
          <w:rFonts w:ascii="Times New Roman" w:hAnsi="Times New Roman" w:cs="Times New Roman"/>
          <w:i/>
          <w:sz w:val="24"/>
          <w:szCs w:val="24"/>
        </w:rPr>
        <w:t>campi</w:t>
      </w:r>
      <w:r w:rsidRPr="0096231F">
        <w:rPr>
          <w:rFonts w:ascii="Times New Roman" w:hAnsi="Times New Roman" w:cs="Times New Roman"/>
          <w:sz w:val="24"/>
          <w:szCs w:val="24"/>
        </w:rPr>
        <w:t xml:space="preserve"> distribuídos por diversos pontos da cidade, além de atuar em outros dez municípios do estado do Rio de Janeiro, destacando-se os </w:t>
      </w:r>
      <w:r w:rsidRPr="00843340">
        <w:rPr>
          <w:rFonts w:ascii="Times New Roman" w:hAnsi="Times New Roman" w:cs="Times New Roman"/>
          <w:i/>
          <w:sz w:val="24"/>
          <w:szCs w:val="24"/>
        </w:rPr>
        <w:t>campi</w:t>
      </w:r>
      <w:r w:rsidRPr="0096231F">
        <w:rPr>
          <w:rFonts w:ascii="Times New Roman" w:hAnsi="Times New Roman" w:cs="Times New Roman"/>
          <w:sz w:val="24"/>
          <w:szCs w:val="24"/>
        </w:rPr>
        <w:t xml:space="preserve"> de Xerém e Macaé. </w:t>
      </w:r>
    </w:p>
    <w:p w:rsidR="00843340" w:rsidRDefault="00843340" w:rsidP="004B7D3B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Historicamente o ingresso na UFRJ é </w:t>
      </w:r>
      <w:r w:rsidR="002F2AD3">
        <w:rPr>
          <w:rFonts w:ascii="Times New Roman" w:hAnsi="Times New Roman" w:cs="Times New Roman"/>
          <w:sz w:val="24"/>
          <w:szCs w:val="24"/>
        </w:rPr>
        <w:t>extremamente</w:t>
      </w:r>
      <w:r>
        <w:rPr>
          <w:rFonts w:ascii="Times New Roman" w:hAnsi="Times New Roman" w:cs="Times New Roman"/>
          <w:sz w:val="24"/>
          <w:szCs w:val="24"/>
        </w:rPr>
        <w:t xml:space="preserve"> seletivo, principalmente em c</w:t>
      </w:r>
      <w:r w:rsidR="002F2AD3">
        <w:rPr>
          <w:rFonts w:ascii="Times New Roman" w:hAnsi="Times New Roman" w:cs="Times New Roman"/>
          <w:sz w:val="24"/>
          <w:szCs w:val="24"/>
        </w:rPr>
        <w:t>ursos</w:t>
      </w:r>
      <w:r>
        <w:rPr>
          <w:rFonts w:ascii="Times New Roman" w:hAnsi="Times New Roman" w:cs="Times New Roman"/>
          <w:sz w:val="24"/>
          <w:szCs w:val="24"/>
        </w:rPr>
        <w:t xml:space="preserve"> de grande prestígio</w:t>
      </w:r>
      <w:r w:rsidR="00FF44AF">
        <w:rPr>
          <w:rFonts w:ascii="Times New Roman" w:hAnsi="Times New Roman" w:cs="Times New Roman"/>
          <w:sz w:val="24"/>
          <w:szCs w:val="24"/>
        </w:rPr>
        <w:t xml:space="preserve"> social</w:t>
      </w:r>
      <w:r w:rsidR="002F2AD3">
        <w:rPr>
          <w:rFonts w:ascii="Times New Roman" w:hAnsi="Times New Roman" w:cs="Times New Roman"/>
          <w:sz w:val="24"/>
          <w:szCs w:val="24"/>
        </w:rPr>
        <w:t xml:space="preserve"> e alta </w:t>
      </w:r>
      <w:r w:rsidR="00FF44AF">
        <w:rPr>
          <w:rFonts w:ascii="Times New Roman" w:hAnsi="Times New Roman" w:cs="Times New Roman"/>
          <w:sz w:val="24"/>
          <w:szCs w:val="24"/>
        </w:rPr>
        <w:t>competitividade</w:t>
      </w:r>
      <w:r>
        <w:rPr>
          <w:rFonts w:ascii="Times New Roman" w:hAnsi="Times New Roman" w:cs="Times New Roman"/>
          <w:sz w:val="24"/>
          <w:szCs w:val="24"/>
        </w:rPr>
        <w:t xml:space="preserve"> como Medicina e Direito. </w:t>
      </w:r>
      <w:r w:rsidRPr="0096231F">
        <w:rPr>
          <w:rFonts w:ascii="Times New Roman" w:hAnsi="Times New Roman" w:cs="Times New Roman"/>
          <w:sz w:val="24"/>
          <w:szCs w:val="24"/>
        </w:rPr>
        <w:t xml:space="preserve">As primeiras resoluções do Conselho Universitário sobre acompanhamento acadêmico foram publicadas em 1997 e visavam aprimorar a experiência do estudante e sua formação. </w:t>
      </w:r>
      <w:r w:rsidRPr="0096231F">
        <w:rPr>
          <w:rFonts w:ascii="Times New Roman" w:hAnsi="Times New Roman" w:cs="Times New Roman"/>
          <w:sz w:val="24"/>
          <w:szCs w:val="24"/>
        </w:rPr>
        <w:lastRenderedPageBreak/>
        <w:t>Com a sanção da Lei</w:t>
      </w:r>
      <w:r w:rsidR="00FF44AF">
        <w:rPr>
          <w:rFonts w:ascii="Times New Roman" w:hAnsi="Times New Roman" w:cs="Times New Roman"/>
          <w:sz w:val="24"/>
          <w:szCs w:val="24"/>
        </w:rPr>
        <w:t xml:space="preserve"> 12.711/12 (BRASIL, 2012), conhecida como “Lei de Cotas”, </w:t>
      </w:r>
      <w:r w:rsidRPr="0096231F">
        <w:rPr>
          <w:rFonts w:ascii="Times New Roman" w:hAnsi="Times New Roman" w:cs="Times New Roman"/>
          <w:sz w:val="24"/>
          <w:szCs w:val="24"/>
        </w:rPr>
        <w:t xml:space="preserve">a universidade passou a adotar a reserva obrigatória de 50% </w:t>
      </w:r>
      <w:r w:rsidR="008972FF">
        <w:rPr>
          <w:rFonts w:ascii="Times New Roman" w:hAnsi="Times New Roman" w:cs="Times New Roman"/>
          <w:sz w:val="24"/>
          <w:szCs w:val="24"/>
        </w:rPr>
        <w:t>das</w:t>
      </w:r>
      <w:r w:rsidRPr="0096231F">
        <w:rPr>
          <w:rFonts w:ascii="Times New Roman" w:hAnsi="Times New Roman" w:cs="Times New Roman"/>
          <w:sz w:val="24"/>
          <w:szCs w:val="24"/>
        </w:rPr>
        <w:t xml:space="preserve"> vagas para estudantes egressos de escolas públicas, pretos, pardos e indígenas. </w:t>
      </w:r>
      <w:r>
        <w:rPr>
          <w:rFonts w:ascii="Times New Roman" w:hAnsi="Times New Roman" w:cs="Times New Roman"/>
          <w:sz w:val="24"/>
          <w:szCs w:val="24"/>
        </w:rPr>
        <w:t xml:space="preserve">A legislação </w:t>
      </w:r>
      <w:r w:rsidRPr="0096231F">
        <w:rPr>
          <w:rFonts w:ascii="Times New Roman" w:hAnsi="Times New Roman" w:cs="Times New Roman"/>
          <w:sz w:val="24"/>
          <w:szCs w:val="24"/>
        </w:rPr>
        <w:t xml:space="preserve">determina que os percentuais de pretos, pardos e indígenas devem corresponder à representação demográfica em cada estado da federação onde a instituição se encontra. A “principal” reserva de vagas e que orienta as demais é a destinada a estudantes </w:t>
      </w:r>
      <w:r>
        <w:rPr>
          <w:rFonts w:ascii="Times New Roman" w:hAnsi="Times New Roman" w:cs="Times New Roman"/>
          <w:sz w:val="24"/>
          <w:szCs w:val="24"/>
        </w:rPr>
        <w:t xml:space="preserve">oriundos </w:t>
      </w:r>
      <w:r w:rsidRPr="0096231F">
        <w:rPr>
          <w:rFonts w:ascii="Times New Roman" w:hAnsi="Times New Roman" w:cs="Times New Roman"/>
          <w:sz w:val="24"/>
          <w:szCs w:val="24"/>
        </w:rPr>
        <w:t xml:space="preserve">de escolas públicas ou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96231F">
        <w:rPr>
          <w:rFonts w:ascii="Times New Roman" w:hAnsi="Times New Roman" w:cs="Times New Roman"/>
          <w:sz w:val="24"/>
          <w:szCs w:val="24"/>
        </w:rPr>
        <w:t xml:space="preserve">privadas como bolsistas (HERINGER, 2010). </w:t>
      </w:r>
      <w:r w:rsidR="002F2AD3">
        <w:rPr>
          <w:rFonts w:ascii="Times New Roman" w:hAnsi="Times New Roman" w:cs="Times New Roman"/>
          <w:sz w:val="24"/>
          <w:szCs w:val="24"/>
        </w:rPr>
        <w:t xml:space="preserve">A Lei 13.409/16 (BRASIL, 2016) estendeu o direito a cotas para portadores de deficiências e necessidades especiais. </w:t>
      </w:r>
    </w:p>
    <w:p w:rsidR="000415E9" w:rsidRDefault="00E23029" w:rsidP="004B7D3B">
      <w:pPr>
        <w:pStyle w:val="NormalWeb"/>
        <w:spacing w:before="0" w:beforeAutospacing="0" w:after="0" w:afterAutospacing="0" w:line="360" w:lineRule="auto"/>
        <w:jc w:val="both"/>
      </w:pPr>
      <w:r w:rsidRPr="0096231F">
        <w:t xml:space="preserve"> </w:t>
      </w:r>
      <w:r w:rsidR="00CB4BE5">
        <w:t>C</w:t>
      </w:r>
      <w:r w:rsidRPr="0096231F">
        <w:t xml:space="preserve">entros e unidades de ensino deveriam estabelecer suas comissões de acompanhamento, cujos objetivos seriam acompanhar o desempenho dos estudantes, verificar quais se enquadram nos critérios de desligamento do curso e baixo desempenho acadêmico e propor alternativas para a superação das dificuldades apresentadas favorecendo a permanência e conclusão dos cursos. </w:t>
      </w:r>
      <w:r w:rsidR="00FF44AF">
        <w:t>Para definir esses casos a</w:t>
      </w:r>
      <w:r w:rsidR="00CB4BE5">
        <w:t xml:space="preserve"> resolução N° 3/97</w:t>
      </w:r>
      <w:r w:rsidRPr="0096231F">
        <w:t xml:space="preserve"> foi complementada </w:t>
      </w:r>
      <w:r w:rsidR="008972FF">
        <w:t>pela Resolução N°</w:t>
      </w:r>
      <w:r w:rsidRPr="0096231F">
        <w:t xml:space="preserve"> 04/2004 (UFRJ, 2004) </w:t>
      </w:r>
      <w:r w:rsidR="009712DD">
        <w:t>que estabeleceu</w:t>
      </w:r>
      <w:r w:rsidR="00CB4BE5">
        <w:t xml:space="preserve"> claramente</w:t>
      </w:r>
      <w:r w:rsidR="009712DD">
        <w:t xml:space="preserve"> </w:t>
      </w:r>
      <w:r w:rsidRPr="0096231F">
        <w:t xml:space="preserve">os critérios para que discentes fossem desligados da instituição e as </w:t>
      </w:r>
      <w:r w:rsidR="009712DD">
        <w:t xml:space="preserve">situações em que as </w:t>
      </w:r>
      <w:proofErr w:type="spellStart"/>
      <w:r w:rsidR="009712DD">
        <w:t>COAA’s</w:t>
      </w:r>
      <w:proofErr w:type="spellEnd"/>
      <w:r w:rsidR="009712DD">
        <w:t xml:space="preserve"> deveriam</w:t>
      </w:r>
      <w:r w:rsidRPr="0096231F">
        <w:t xml:space="preserve"> atuar. Estão sujeitos ao cancelamento da matrícu</w:t>
      </w:r>
      <w:r w:rsidR="009712DD">
        <w:t>la os estudantes que possuírem C</w:t>
      </w:r>
      <w:r w:rsidRPr="0096231F">
        <w:t>o</w:t>
      </w:r>
      <w:r w:rsidR="009712DD">
        <w:t>eficiente de R</w:t>
      </w:r>
      <w:r w:rsidRPr="0096231F">
        <w:t>endimento (CR) inferior a 3,0 (três), cursar a mesma disciplina sem aproveitamento por quatro vezes e/ou ultrapassar o período máximo de integralização do curso (que varia de acordo com a área ou curso escolhido).</w:t>
      </w:r>
    </w:p>
    <w:p w:rsidR="009712DD" w:rsidRPr="00CB4BE5" w:rsidRDefault="00E23029" w:rsidP="004B7D3B">
      <w:pPr>
        <w:pStyle w:val="NormalWeb"/>
        <w:spacing w:before="0" w:beforeAutospacing="0" w:after="0" w:afterAutospacing="0" w:line="360" w:lineRule="auto"/>
        <w:jc w:val="both"/>
      </w:pPr>
      <w:r w:rsidRPr="0096231F">
        <w:t xml:space="preserve">Após o ingresso no programa o aluno passaria a ser acompanhado por um professor orientador pertencente ao quadro efetivo da universidade e a seguir um programa de estudos elaborado por </w:t>
      </w:r>
      <w:r w:rsidR="000415E9">
        <w:t>ele</w:t>
      </w:r>
      <w:r w:rsidRPr="0096231F">
        <w:t xml:space="preserve">. Qualquer desvio das atividades propostas ou solicitações de prorrogação de prazos devem ser justificados por escrito </w:t>
      </w:r>
      <w:r w:rsidR="00CB4BE5">
        <w:t xml:space="preserve">a COAA </w:t>
      </w:r>
      <w:r w:rsidRPr="0096231F">
        <w:t xml:space="preserve">pelo orientador. </w:t>
      </w:r>
      <w:r w:rsidR="009712DD">
        <w:t>Na prática o estudante atendido perde seu poder para tomar decisões acadêmicas ao não ter mais</w:t>
      </w:r>
      <w:r w:rsidRPr="0096231F">
        <w:t xml:space="preserve"> autonomia para realização de inscrição em disciplinas por meio do Sistema Integrado de Gestão Acadêmica (SIGA), que passam a ser feitas pelo orientador. Como grande parte dos programas o acompanhamento apresenta um caráter “reparador”, já que a maior parte das medidas é executada após os estudantes apresentarem o baixo desempenho.</w:t>
      </w:r>
      <w:r w:rsidR="009712DD">
        <w:t xml:space="preserve"> </w:t>
      </w:r>
      <w:r w:rsidRPr="0096231F">
        <w:t xml:space="preserve"> Assim as </w:t>
      </w:r>
      <w:proofErr w:type="spellStart"/>
      <w:r w:rsidRPr="0096231F">
        <w:t>COAA</w:t>
      </w:r>
      <w:r w:rsidR="00FF44AF">
        <w:t>’</w:t>
      </w:r>
      <w:r w:rsidRPr="0096231F">
        <w:t>s</w:t>
      </w:r>
      <w:proofErr w:type="spellEnd"/>
      <w:r w:rsidRPr="0096231F">
        <w:t xml:space="preserve"> funcionariam seguindo quatro padrões básicos, como indicado no quadro abaixo:</w:t>
      </w:r>
    </w:p>
    <w:p w:rsidR="00666003" w:rsidRPr="00CB4BE5" w:rsidRDefault="000A762C" w:rsidP="004B7D3B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96231F">
        <w:lastRenderedPageBreak/>
        <w:t xml:space="preserve">Os dados indicam que o número de estudantes com </w:t>
      </w:r>
      <w:r>
        <w:t xml:space="preserve">situação de </w:t>
      </w:r>
      <w:r w:rsidRPr="0096231F">
        <w:t>matrícula trancada variou ao longo dos anos</w:t>
      </w:r>
      <w:r w:rsidR="00CB4BE5">
        <w:t xml:space="preserve">. </w:t>
      </w:r>
      <w:r w:rsidRPr="0096231F">
        <w:t xml:space="preserve">A grande dificuldade é a ausência de informações que </w:t>
      </w:r>
      <w:r>
        <w:t>dificultam</w:t>
      </w:r>
      <w:r w:rsidRPr="0096231F">
        <w:t xml:space="preserve"> identificar quais trancamentos ocorre</w:t>
      </w:r>
      <w:r>
        <w:t>ram</w:t>
      </w:r>
      <w:r w:rsidRPr="0096231F">
        <w:t xml:space="preserve"> </w:t>
      </w:r>
      <w:r>
        <w:t>devido a</w:t>
      </w:r>
      <w:r w:rsidRPr="0096231F">
        <w:t xml:space="preserve"> dificuldades financeiras ou acadêmicas (ou as duas)</w:t>
      </w:r>
      <w:r w:rsidR="00CB4BE5">
        <w:t xml:space="preserve"> e mesmo se o estudante se afastou definitivamente d</w:t>
      </w:r>
      <w:r w:rsidR="0031007F">
        <w:t>o sistema, trocou de curso ou de instituição</w:t>
      </w:r>
      <w:r w:rsidR="009712DD">
        <w:t>.</w:t>
      </w:r>
      <w:r w:rsidRPr="0096231F">
        <w:t xml:space="preserve"> </w:t>
      </w:r>
      <w:r w:rsidR="00666003">
        <w:t>O exemplo da Universidade do Estado do Rio de Janeiro (UERJ) é muito importante</w:t>
      </w:r>
      <w:r w:rsidR="001C7371">
        <w:t xml:space="preserve"> nesse sentido</w:t>
      </w:r>
      <w:r w:rsidR="00666003">
        <w:t xml:space="preserve">. </w:t>
      </w:r>
      <w:r w:rsidR="001C7371">
        <w:t>A instituição</w:t>
      </w:r>
      <w:r w:rsidR="00666003">
        <w:t xml:space="preserve"> mantém dados atualizados</w:t>
      </w:r>
      <w:r w:rsidR="00666003">
        <w:rPr>
          <w:rStyle w:val="Refdenotaderodap"/>
        </w:rPr>
        <w:footnoteReference w:id="3"/>
      </w:r>
      <w:r w:rsidR="001C7371">
        <w:t xml:space="preserve"> sobre o corpo discente e seus</w:t>
      </w:r>
      <w:r w:rsidR="00666003">
        <w:t xml:space="preserve"> cursos (matrículas por curso, aprovações, reprovações, trancamentos etc.). As motivações para trancamentos de matrícula são dados importantes e vêm proporcionando maiores possibilidades de análise </w:t>
      </w:r>
      <w:r w:rsidR="0031007F">
        <w:t xml:space="preserve">mais </w:t>
      </w:r>
      <w:proofErr w:type="gramStart"/>
      <w:r w:rsidR="0031007F">
        <w:t>precisas</w:t>
      </w:r>
      <w:proofErr w:type="gramEnd"/>
      <w:r w:rsidR="00666003">
        <w:t xml:space="preserve"> da situação discente. </w:t>
      </w:r>
    </w:p>
    <w:p w:rsidR="000A762C" w:rsidRDefault="00666003" w:rsidP="004B7D3B">
      <w:pPr>
        <w:pStyle w:val="NormalWeb"/>
        <w:spacing w:before="0" w:beforeAutospacing="0" w:after="0" w:afterAutospacing="0" w:line="360" w:lineRule="auto"/>
        <w:jc w:val="both"/>
      </w:pPr>
      <w:r>
        <w:t xml:space="preserve">Os dados disponibilizados </w:t>
      </w:r>
      <w:r w:rsidR="0031007F">
        <w:t>pela</w:t>
      </w:r>
      <w:r>
        <w:t xml:space="preserve"> UFRJ não possuem a mesma extensão </w:t>
      </w:r>
      <w:r w:rsidR="001C7371">
        <w:t xml:space="preserve">ou </w:t>
      </w:r>
      <w:r>
        <w:t>aprofundamento, o que permite inicialmente uma análise geral da situação.</w:t>
      </w:r>
      <w:r w:rsidR="0031007F">
        <w:t xml:space="preserve"> Ao analisar os dados por </w:t>
      </w:r>
      <w:r w:rsidR="001C7371">
        <w:t>curso é possível perceber algun</w:t>
      </w:r>
      <w:r w:rsidR="0031007F">
        <w:t xml:space="preserve">s </w:t>
      </w:r>
      <w:r w:rsidR="001C7371">
        <w:t>obstáculos</w:t>
      </w:r>
      <w:r w:rsidR="0031007F">
        <w:t>, principalmente nos períodos do ano de 2018 que apresentam evasão zero</w:t>
      </w:r>
      <w:r w:rsidR="001C7371">
        <w:t>, por exemplo</w:t>
      </w:r>
      <w:r w:rsidR="0031007F">
        <w:t>. É preciso destacar a necessidade de aprimoramento dos dados. A</w:t>
      </w:r>
      <w:r w:rsidR="001C7371">
        <w:t>ssim sendo,</w:t>
      </w:r>
      <w:r w:rsidR="0031007F">
        <w:t xml:space="preserve"> utilizamos dados até o ano de 2017.</w:t>
      </w:r>
      <w:r>
        <w:t xml:space="preserve"> </w:t>
      </w:r>
      <w:r w:rsidR="000A762C">
        <w:t>O gráfico abaixo indica a variação no número de matrículas da UFRJ</w:t>
      </w:r>
      <w:r w:rsidR="0031007F">
        <w:t xml:space="preserve"> a partir do ano de 2013</w:t>
      </w:r>
      <w:r w:rsidR="000A762C">
        <w:t xml:space="preserve"> e da situação </w:t>
      </w:r>
      <w:r w:rsidR="0031007F">
        <w:t>atual</w:t>
      </w:r>
      <w:r w:rsidR="0031007F">
        <w:rPr>
          <w:rStyle w:val="Refdenotaderodap"/>
        </w:rPr>
        <w:footnoteReference w:id="4"/>
      </w:r>
      <w:r w:rsidR="0031007F">
        <w:t xml:space="preserve"> </w:t>
      </w:r>
      <w:r w:rsidR="000A762C">
        <w:t>dos estudantes</w:t>
      </w:r>
      <w:r>
        <w:t xml:space="preserve"> (sem indicar os motivos dos trancamentos).</w:t>
      </w:r>
    </w:p>
    <w:p w:rsidR="000A762C" w:rsidRPr="0096231F" w:rsidRDefault="000A762C" w:rsidP="00FF4106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96231F">
        <w:rPr>
          <w:b/>
        </w:rPr>
        <w:t>Gráfic</w:t>
      </w:r>
      <w:r>
        <w:rPr>
          <w:b/>
        </w:rPr>
        <w:t>o 1</w:t>
      </w:r>
      <w:r w:rsidRPr="0096231F">
        <w:rPr>
          <w:b/>
        </w:rPr>
        <w:t xml:space="preserve"> – Matrículas em cursos de Graduação (UFRJ)</w:t>
      </w:r>
    </w:p>
    <w:p w:rsidR="000A762C" w:rsidRPr="0096231F" w:rsidRDefault="000A762C" w:rsidP="001C7371">
      <w:pPr>
        <w:pStyle w:val="NormalWeb"/>
        <w:spacing w:before="0" w:beforeAutospacing="0" w:after="0" w:afterAutospacing="0" w:line="360" w:lineRule="auto"/>
      </w:pPr>
      <w:r w:rsidRPr="0096231F">
        <w:rPr>
          <w:noProof/>
        </w:rPr>
        <w:drawing>
          <wp:inline distT="0" distB="0" distL="0" distR="0">
            <wp:extent cx="5400040" cy="2735580"/>
            <wp:effectExtent l="0" t="0" r="10160" b="2667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6231F">
        <w:rPr>
          <w:sz w:val="20"/>
          <w:szCs w:val="20"/>
        </w:rPr>
        <w:t>Fonte:</w:t>
      </w:r>
      <w:r w:rsidR="00EB40BD">
        <w:rPr>
          <w:sz w:val="20"/>
          <w:szCs w:val="20"/>
        </w:rPr>
        <w:t xml:space="preserve"> Elaboração do autor a partir de dados da </w:t>
      </w:r>
      <w:r w:rsidRPr="0096231F">
        <w:rPr>
          <w:sz w:val="20"/>
          <w:szCs w:val="20"/>
        </w:rPr>
        <w:t xml:space="preserve">Pró-Reitoria de Graduação (UFRJ). </w:t>
      </w:r>
    </w:p>
    <w:p w:rsidR="004B7D3B" w:rsidRDefault="004B7D3B" w:rsidP="004B7D3B">
      <w:pPr>
        <w:pStyle w:val="NormalWeb"/>
        <w:spacing w:before="0" w:beforeAutospacing="0" w:after="0" w:afterAutospacing="0" w:line="360" w:lineRule="auto"/>
        <w:jc w:val="both"/>
      </w:pPr>
    </w:p>
    <w:p w:rsidR="000A762C" w:rsidRPr="0096231F" w:rsidRDefault="00EB40BD" w:rsidP="004B7D3B">
      <w:pPr>
        <w:pStyle w:val="NormalWeb"/>
        <w:spacing w:before="0" w:beforeAutospacing="0" w:after="0" w:afterAutospacing="0" w:line="360" w:lineRule="auto"/>
        <w:jc w:val="both"/>
      </w:pPr>
      <w:r>
        <w:lastRenderedPageBreak/>
        <w:t>Os dados também</w:t>
      </w:r>
      <w:r w:rsidR="000A762C" w:rsidRPr="0096231F">
        <w:t xml:space="preserve"> apontam diferenças nos índices de evasão entre cursos e áreas de estudo. Ao analisar a evasão por centro acadêmico é possível indicar que ela é alta em todos os centros e que a diferença entre eles não é ampla o suficiente para indicar “vantagens” extraordinárias de alunos de um centro em relação ao outro. Isto poderia ser mais visível em relação aos cursos. Problemas </w:t>
      </w:r>
      <w:r w:rsidR="00666003">
        <w:t>na elaboração</w:t>
      </w:r>
      <w:r w:rsidR="000A762C" w:rsidRPr="0096231F">
        <w:t xml:space="preserve"> dos dados por curso e a impossibilidade de comparação devido às diferenças na cobertura dos dados</w:t>
      </w:r>
      <w:r w:rsidR="00666003">
        <w:t xml:space="preserve"> (a cobertura temporal é diferente em alguns cursos dificultando uma comparação fidedigna entre cursos). Então este trabalho recorreu</w:t>
      </w:r>
      <w:r w:rsidR="000A762C" w:rsidRPr="0096231F">
        <w:t xml:space="preserve"> a uma abordagem ampla da universidade, </w:t>
      </w:r>
      <w:r w:rsidR="00666003">
        <w:t xml:space="preserve">com dados </w:t>
      </w:r>
      <w:r w:rsidR="0031007F">
        <w:t>gerai</w:t>
      </w:r>
      <w:r w:rsidR="00666003">
        <w:t>s da universidade onde todas essas situações já estão agregadas.</w:t>
      </w:r>
    </w:p>
    <w:p w:rsidR="007B08DE" w:rsidRDefault="000A762C" w:rsidP="004B7D3B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62C">
        <w:rPr>
          <w:rFonts w:ascii="Times New Roman" w:hAnsi="Times New Roman" w:cs="Times New Roman"/>
          <w:sz w:val="24"/>
          <w:szCs w:val="24"/>
        </w:rPr>
        <w:t>Os centros que reúnem as licenciaturas e cursos do cam</w:t>
      </w:r>
      <w:r w:rsidR="0010190F">
        <w:rPr>
          <w:rFonts w:ascii="Times New Roman" w:hAnsi="Times New Roman" w:cs="Times New Roman"/>
          <w:sz w:val="24"/>
          <w:szCs w:val="24"/>
        </w:rPr>
        <w:t>po dos “cuidados” apresentam maior</w:t>
      </w:r>
      <w:r w:rsidRPr="000A762C">
        <w:rPr>
          <w:rFonts w:ascii="Times New Roman" w:hAnsi="Times New Roman" w:cs="Times New Roman"/>
          <w:sz w:val="24"/>
          <w:szCs w:val="24"/>
        </w:rPr>
        <w:t xml:space="preserve"> evasão de acordo com a literatura que destaca a tendência de receberem estudantes com menor poder aquisitivo e de famílias com menores capitais culturais e sociais</w:t>
      </w:r>
      <w:r w:rsidR="0031007F">
        <w:rPr>
          <w:rFonts w:ascii="Times New Roman" w:hAnsi="Times New Roman" w:cs="Times New Roman"/>
          <w:sz w:val="24"/>
          <w:szCs w:val="24"/>
        </w:rPr>
        <w:t>, além do perfil mais feminino das carreiras</w:t>
      </w:r>
      <w:r w:rsidRPr="000A762C">
        <w:rPr>
          <w:rFonts w:ascii="Times New Roman" w:hAnsi="Times New Roman" w:cs="Times New Roman"/>
          <w:sz w:val="24"/>
          <w:szCs w:val="24"/>
        </w:rPr>
        <w:t xml:space="preserve">. Isso indica a maior vulnerabilidade dos estudantes dessas áreas e a necessidade de acompanhamento acadêmico. </w:t>
      </w:r>
    </w:p>
    <w:p w:rsidR="0010190F" w:rsidRPr="000A024B" w:rsidRDefault="000A762C" w:rsidP="004B7D3B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62C">
        <w:rPr>
          <w:rFonts w:ascii="Times New Roman" w:hAnsi="Times New Roman" w:cs="Times New Roman"/>
          <w:sz w:val="24"/>
          <w:szCs w:val="24"/>
        </w:rPr>
        <w:t xml:space="preserve"> </w:t>
      </w:r>
      <w:r w:rsidR="0031007F">
        <w:rPr>
          <w:rFonts w:ascii="Times New Roman" w:hAnsi="Times New Roman" w:cs="Times New Roman"/>
          <w:sz w:val="24"/>
          <w:szCs w:val="24"/>
        </w:rPr>
        <w:t>O</w:t>
      </w:r>
      <w:r w:rsidRPr="000A762C">
        <w:rPr>
          <w:rFonts w:ascii="Times New Roman" w:hAnsi="Times New Roman" w:cs="Times New Roman"/>
          <w:sz w:val="24"/>
          <w:szCs w:val="24"/>
        </w:rPr>
        <w:t>s números de evasão do C</w:t>
      </w:r>
      <w:r w:rsidR="007B08DE">
        <w:rPr>
          <w:rFonts w:ascii="Times New Roman" w:hAnsi="Times New Roman" w:cs="Times New Roman"/>
          <w:sz w:val="24"/>
          <w:szCs w:val="24"/>
        </w:rPr>
        <w:t xml:space="preserve">entro de </w:t>
      </w:r>
      <w:r w:rsidRPr="000A762C">
        <w:rPr>
          <w:rFonts w:ascii="Times New Roman" w:hAnsi="Times New Roman" w:cs="Times New Roman"/>
          <w:sz w:val="24"/>
          <w:szCs w:val="24"/>
        </w:rPr>
        <w:t>C</w:t>
      </w:r>
      <w:r w:rsidR="007B08DE">
        <w:rPr>
          <w:rFonts w:ascii="Times New Roman" w:hAnsi="Times New Roman" w:cs="Times New Roman"/>
          <w:sz w:val="24"/>
          <w:szCs w:val="24"/>
        </w:rPr>
        <w:t xml:space="preserve">iências da </w:t>
      </w:r>
      <w:r w:rsidRPr="000A762C">
        <w:rPr>
          <w:rFonts w:ascii="Times New Roman" w:hAnsi="Times New Roman" w:cs="Times New Roman"/>
          <w:sz w:val="24"/>
          <w:szCs w:val="24"/>
        </w:rPr>
        <w:t>S</w:t>
      </w:r>
      <w:r w:rsidR="007B08DE">
        <w:rPr>
          <w:rFonts w:ascii="Times New Roman" w:hAnsi="Times New Roman" w:cs="Times New Roman"/>
          <w:sz w:val="24"/>
          <w:szCs w:val="24"/>
        </w:rPr>
        <w:t>aúde (CCS)</w:t>
      </w:r>
      <w:r w:rsidRPr="000A762C">
        <w:rPr>
          <w:rFonts w:ascii="Times New Roman" w:hAnsi="Times New Roman" w:cs="Times New Roman"/>
          <w:sz w:val="24"/>
          <w:szCs w:val="24"/>
        </w:rPr>
        <w:t>, que abriga cursos de alto prestígio como Medicina e Odontologia</w:t>
      </w:r>
      <w:r w:rsidR="0031007F">
        <w:rPr>
          <w:rFonts w:ascii="Times New Roman" w:hAnsi="Times New Roman" w:cs="Times New Roman"/>
          <w:sz w:val="24"/>
          <w:szCs w:val="24"/>
        </w:rPr>
        <w:t xml:space="preserve"> que tendem a ter evasão menor devido à seletividade inicial das carreiras</w:t>
      </w:r>
      <w:r w:rsidRPr="000A762C">
        <w:rPr>
          <w:rFonts w:ascii="Times New Roman" w:hAnsi="Times New Roman" w:cs="Times New Roman"/>
          <w:sz w:val="24"/>
          <w:szCs w:val="24"/>
        </w:rPr>
        <w:t>, poderiam ser elevados pel</w:t>
      </w:r>
      <w:r w:rsidR="0031007F">
        <w:rPr>
          <w:rFonts w:ascii="Times New Roman" w:hAnsi="Times New Roman" w:cs="Times New Roman"/>
          <w:sz w:val="24"/>
          <w:szCs w:val="24"/>
        </w:rPr>
        <w:t>a evasão das</w:t>
      </w:r>
      <w:proofErr w:type="gramStart"/>
      <w:r w:rsidR="0031007F">
        <w:rPr>
          <w:rFonts w:ascii="Times New Roman" w:hAnsi="Times New Roman" w:cs="Times New Roman"/>
          <w:sz w:val="24"/>
          <w:szCs w:val="24"/>
        </w:rPr>
        <w:t xml:space="preserve"> </w:t>
      </w:r>
      <w:r w:rsidRPr="000A7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A762C">
        <w:rPr>
          <w:rFonts w:ascii="Times New Roman" w:hAnsi="Times New Roman" w:cs="Times New Roman"/>
          <w:sz w:val="24"/>
          <w:szCs w:val="24"/>
        </w:rPr>
        <w:t xml:space="preserve">licenciaturas e cursos da área de cuidados e de feições técnicas </w:t>
      </w:r>
      <w:r w:rsidR="007B08DE">
        <w:rPr>
          <w:rFonts w:ascii="Times New Roman" w:hAnsi="Times New Roman" w:cs="Times New Roman"/>
          <w:sz w:val="24"/>
          <w:szCs w:val="24"/>
        </w:rPr>
        <w:t xml:space="preserve">reunidos neste centro e </w:t>
      </w:r>
      <w:r w:rsidRPr="000A762C">
        <w:rPr>
          <w:rFonts w:ascii="Times New Roman" w:hAnsi="Times New Roman" w:cs="Times New Roman"/>
          <w:sz w:val="24"/>
          <w:szCs w:val="24"/>
        </w:rPr>
        <w:t>que tendem a apresentar perfil d</w:t>
      </w:r>
      <w:r w:rsidR="007B08DE">
        <w:rPr>
          <w:rFonts w:ascii="Times New Roman" w:hAnsi="Times New Roman" w:cs="Times New Roman"/>
          <w:sz w:val="24"/>
          <w:szCs w:val="24"/>
        </w:rPr>
        <w:t>e estudante menos privilegiado que evadiria</w:t>
      </w:r>
      <w:r w:rsidRPr="000A762C">
        <w:rPr>
          <w:rFonts w:ascii="Times New Roman" w:hAnsi="Times New Roman" w:cs="Times New Roman"/>
          <w:sz w:val="24"/>
          <w:szCs w:val="24"/>
        </w:rPr>
        <w:t xml:space="preserve"> mais (BORGES, 2017).</w:t>
      </w:r>
      <w:r w:rsidR="007B08DE">
        <w:rPr>
          <w:rFonts w:ascii="Times New Roman" w:hAnsi="Times New Roman" w:cs="Times New Roman"/>
          <w:sz w:val="24"/>
          <w:szCs w:val="24"/>
        </w:rPr>
        <w:t xml:space="preserve"> O gráfico </w:t>
      </w:r>
      <w:proofErr w:type="gramStart"/>
      <w:r w:rsidR="007B08D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B08DE">
        <w:rPr>
          <w:rFonts w:ascii="Times New Roman" w:hAnsi="Times New Roman" w:cs="Times New Roman"/>
          <w:sz w:val="24"/>
          <w:szCs w:val="24"/>
        </w:rPr>
        <w:t xml:space="preserve"> </w:t>
      </w:r>
      <w:r w:rsidR="0010190F">
        <w:rPr>
          <w:rFonts w:ascii="Times New Roman" w:hAnsi="Times New Roman" w:cs="Times New Roman"/>
          <w:sz w:val="24"/>
          <w:szCs w:val="24"/>
        </w:rPr>
        <w:t>apresenta</w:t>
      </w:r>
      <w:r w:rsidR="007B08DE">
        <w:rPr>
          <w:rFonts w:ascii="Times New Roman" w:hAnsi="Times New Roman" w:cs="Times New Roman"/>
          <w:sz w:val="24"/>
          <w:szCs w:val="24"/>
        </w:rPr>
        <w:t xml:space="preserve"> os números de estudantes evadidos na UFRJ entre os anos de 2012 e 2017</w:t>
      </w:r>
      <w:r w:rsidR="0031007F">
        <w:rPr>
          <w:rFonts w:ascii="Times New Roman" w:hAnsi="Times New Roman" w:cs="Times New Roman"/>
          <w:sz w:val="24"/>
          <w:szCs w:val="24"/>
        </w:rPr>
        <w:t xml:space="preserve"> e destaca as diferenças observadas por centro acadêmico</w:t>
      </w:r>
      <w:r w:rsidR="000A024B">
        <w:rPr>
          <w:rFonts w:ascii="Times New Roman" w:hAnsi="Times New Roman" w:cs="Times New Roman"/>
          <w:sz w:val="24"/>
          <w:szCs w:val="24"/>
        </w:rPr>
        <w:t>.</w:t>
      </w:r>
    </w:p>
    <w:p w:rsidR="00FF4106" w:rsidRDefault="00FF4106" w:rsidP="000A024B">
      <w:pPr>
        <w:spacing w:line="360" w:lineRule="auto"/>
        <w:jc w:val="center"/>
        <w:rPr>
          <w:b/>
        </w:rPr>
      </w:pPr>
    </w:p>
    <w:p w:rsidR="00FF4106" w:rsidRDefault="00FF4106" w:rsidP="000A024B">
      <w:pPr>
        <w:spacing w:line="360" w:lineRule="auto"/>
        <w:jc w:val="center"/>
        <w:rPr>
          <w:b/>
        </w:rPr>
      </w:pPr>
    </w:p>
    <w:p w:rsidR="00FF4106" w:rsidRDefault="00FF4106" w:rsidP="000A024B">
      <w:pPr>
        <w:spacing w:line="360" w:lineRule="auto"/>
        <w:jc w:val="center"/>
        <w:rPr>
          <w:b/>
        </w:rPr>
      </w:pPr>
    </w:p>
    <w:p w:rsidR="00FF4106" w:rsidRDefault="00FF4106" w:rsidP="000A024B">
      <w:pPr>
        <w:spacing w:line="360" w:lineRule="auto"/>
        <w:jc w:val="center"/>
        <w:rPr>
          <w:b/>
        </w:rPr>
      </w:pPr>
    </w:p>
    <w:p w:rsidR="00FF4106" w:rsidRDefault="00FF4106" w:rsidP="000A024B">
      <w:pPr>
        <w:spacing w:line="360" w:lineRule="auto"/>
        <w:jc w:val="center"/>
        <w:rPr>
          <w:b/>
        </w:rPr>
      </w:pPr>
    </w:p>
    <w:p w:rsidR="00FF4106" w:rsidRDefault="00FF4106" w:rsidP="000A024B">
      <w:pPr>
        <w:spacing w:line="360" w:lineRule="auto"/>
        <w:jc w:val="center"/>
        <w:rPr>
          <w:b/>
        </w:rPr>
      </w:pPr>
    </w:p>
    <w:p w:rsidR="00FF4106" w:rsidRDefault="00FF4106" w:rsidP="000A024B">
      <w:pPr>
        <w:spacing w:line="360" w:lineRule="auto"/>
        <w:jc w:val="center"/>
        <w:rPr>
          <w:b/>
        </w:rPr>
      </w:pPr>
    </w:p>
    <w:p w:rsidR="00FF4106" w:rsidRDefault="00FF4106" w:rsidP="000A024B">
      <w:pPr>
        <w:spacing w:line="360" w:lineRule="auto"/>
        <w:jc w:val="center"/>
        <w:rPr>
          <w:b/>
        </w:rPr>
      </w:pPr>
    </w:p>
    <w:p w:rsidR="00FF4106" w:rsidRDefault="00FF4106" w:rsidP="000A024B">
      <w:pPr>
        <w:spacing w:line="360" w:lineRule="auto"/>
        <w:jc w:val="center"/>
        <w:rPr>
          <w:b/>
        </w:rPr>
      </w:pPr>
    </w:p>
    <w:p w:rsidR="000A762C" w:rsidRPr="000A024B" w:rsidRDefault="000A762C" w:rsidP="000A02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24B">
        <w:rPr>
          <w:b/>
        </w:rPr>
        <w:lastRenderedPageBreak/>
        <w:t>Gráfico 2 – Evasão na UFRJ por centro acadêmico (2012-2017)</w:t>
      </w:r>
    </w:p>
    <w:p w:rsidR="000A762C" w:rsidRPr="000A762C" w:rsidRDefault="000A762C" w:rsidP="000A762C">
      <w:pPr>
        <w:pStyle w:val="PargrafodaLista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90F" w:rsidRDefault="000A762C" w:rsidP="000A762C">
      <w:pPr>
        <w:pStyle w:val="PargrafodaLista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6231F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5400040" cy="2872740"/>
            <wp:effectExtent l="0" t="0" r="10160" b="381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762C" w:rsidRPr="000A762C" w:rsidRDefault="000A762C" w:rsidP="000A762C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231F">
        <w:rPr>
          <w:rFonts w:ascii="Times New Roman" w:hAnsi="Times New Roman" w:cs="Times New Roman"/>
          <w:sz w:val="20"/>
          <w:szCs w:val="20"/>
        </w:rPr>
        <w:t xml:space="preserve">Fonte: </w:t>
      </w:r>
      <w:r w:rsidR="00EB40BD">
        <w:rPr>
          <w:rFonts w:ascii="Times New Roman" w:hAnsi="Times New Roman" w:cs="Times New Roman"/>
          <w:sz w:val="20"/>
          <w:szCs w:val="20"/>
        </w:rPr>
        <w:t xml:space="preserve">Elaboração do autor a partir de dados da </w:t>
      </w:r>
      <w:r w:rsidRPr="0096231F">
        <w:rPr>
          <w:rFonts w:ascii="Times New Roman" w:hAnsi="Times New Roman" w:cs="Times New Roman"/>
          <w:sz w:val="20"/>
          <w:szCs w:val="20"/>
        </w:rPr>
        <w:t xml:space="preserve">Pró-Reitoria de Graduação (UFRJ). </w:t>
      </w:r>
    </w:p>
    <w:p w:rsidR="00EB40BD" w:rsidRPr="007B08DE" w:rsidRDefault="00EB40BD" w:rsidP="004B7D3B">
      <w:pPr>
        <w:pStyle w:val="NormalWeb"/>
        <w:spacing w:before="0" w:beforeAutospacing="0" w:after="0" w:afterAutospacing="0" w:line="360" w:lineRule="auto"/>
        <w:jc w:val="both"/>
      </w:pPr>
      <w:r>
        <w:t xml:space="preserve">No período coberto pelos dados </w:t>
      </w:r>
      <w:r w:rsidRPr="0096231F">
        <w:t>25</w:t>
      </w:r>
      <w:r w:rsidR="007B08DE">
        <w:t>.</w:t>
      </w:r>
      <w:r w:rsidRPr="0096231F">
        <w:t>502 estudantes</w:t>
      </w:r>
      <w:r>
        <w:t xml:space="preserve"> evadiram da UFRJ</w:t>
      </w:r>
      <w:r w:rsidRPr="0096231F">
        <w:t xml:space="preserve">. </w:t>
      </w:r>
      <w:r w:rsidR="0010190F">
        <w:t>Isso representa</w:t>
      </w:r>
      <w:r w:rsidRPr="0096231F">
        <w:t xml:space="preserve"> média de 4</w:t>
      </w:r>
      <w:r w:rsidR="007B08DE">
        <w:t>.</w:t>
      </w:r>
      <w:r w:rsidRPr="0096231F">
        <w:t>250 estudantes por centro acadêmico, com desvio-padrão de 697,01. O desvio padrão relativamente baixo</w:t>
      </w:r>
      <w:r w:rsidR="00E11FF2">
        <w:rPr>
          <w:rStyle w:val="Refdenotaderodap"/>
        </w:rPr>
        <w:footnoteReference w:id="5"/>
      </w:r>
      <w:r w:rsidRPr="0096231F">
        <w:t xml:space="preserve"> indica que não há grande assimetria entre os centros. Todos apresentam grande evasão, ainda que alguns se destaquem mais. Ao padronizar a amostra é possível visualizar que alguns cursos estão mais próximos à méd</w:t>
      </w:r>
      <w:r w:rsidR="007B08DE">
        <w:t>ia geral da amostra em relação à</w:t>
      </w:r>
      <w:r w:rsidRPr="0096231F">
        <w:t xml:space="preserve"> quantidade de desvios-padrão </w:t>
      </w:r>
      <w:r w:rsidR="007B08DE">
        <w:t xml:space="preserve">apresentados entre cada centro e a média da amostra. </w:t>
      </w:r>
      <w:r w:rsidR="00D93BEE">
        <w:t xml:space="preserve">Ainda que </w:t>
      </w:r>
      <w:r w:rsidRPr="0096231F">
        <w:t>os cursos do Centro de Letras e Artes (CLA), Centro de Filosofia e</w:t>
      </w:r>
      <w:r w:rsidR="00D93BEE">
        <w:t xml:space="preserve"> Ciências Humanas (CFCH) d</w:t>
      </w:r>
      <w:r w:rsidRPr="0096231F">
        <w:t>o Centro de Ciências da Saúde (CCS)</w:t>
      </w:r>
      <w:r w:rsidR="00D93BEE">
        <w:t xml:space="preserve"> estejam acima da média da universidade esta variação positiva também é pequena. O centro com mai</w:t>
      </w:r>
      <w:r w:rsidR="00206578">
        <w:t>o</w:t>
      </w:r>
      <w:r w:rsidR="00E11FF2">
        <w:t>r evasão está a pouco mais de um</w:t>
      </w:r>
      <w:r w:rsidR="00D93BEE">
        <w:t xml:space="preserve"> desvio-padrão da média. C</w:t>
      </w:r>
      <w:r w:rsidRPr="0096231F">
        <w:t xml:space="preserve">ursos do Centro de Ciências Matemáticas e da Natureza (CCMN), Centro de Tecnologia (CT) e Centro de Ciências Jurídicas e Econômicas (CCJE) apresentam valores negativos, indicando estarem abaixo da média de evasão da </w:t>
      </w:r>
      <w:r w:rsidR="007B08DE">
        <w:t>universidade</w:t>
      </w:r>
      <w:r w:rsidR="00E11FF2">
        <w:t>. A</w:t>
      </w:r>
      <w:r w:rsidRPr="0096231F">
        <w:t>inda que os números de evasão sejam altos nestes centros o problema não apresenta o mesmo “peso” que nos três primeiros.</w:t>
      </w:r>
      <w:r w:rsidR="00D93BEE">
        <w:t xml:space="preserve"> O que de modo algum elimina a necessidade de redução da evasão </w:t>
      </w:r>
      <w:r w:rsidR="00E11FF2">
        <w:t>nos mesmos</w:t>
      </w:r>
      <w:r w:rsidR="00D93BEE">
        <w:t xml:space="preserve">. </w:t>
      </w:r>
      <w:r w:rsidRPr="0096231F">
        <w:t xml:space="preserve"> </w:t>
      </w:r>
    </w:p>
    <w:p w:rsidR="00EB40BD" w:rsidRDefault="00EB40BD" w:rsidP="00EB40BD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p w:rsidR="00AB1C7C" w:rsidRDefault="00AB1C7C" w:rsidP="00EB40BD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p w:rsidR="00FF4106" w:rsidRDefault="00FF4106" w:rsidP="00EB40BD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p w:rsidR="00FF4106" w:rsidRDefault="00FF4106" w:rsidP="00EB40BD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p w:rsidR="00EB40BD" w:rsidRDefault="00EB40BD" w:rsidP="00EB40BD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96231F">
        <w:rPr>
          <w:b/>
        </w:rPr>
        <w:t xml:space="preserve">Gráfico </w:t>
      </w:r>
      <w:r>
        <w:rPr>
          <w:b/>
        </w:rPr>
        <w:t>3</w:t>
      </w:r>
      <w:r w:rsidR="00204342">
        <w:rPr>
          <w:b/>
        </w:rPr>
        <w:t xml:space="preserve"> </w:t>
      </w:r>
      <w:r w:rsidR="00E11FF2">
        <w:rPr>
          <w:b/>
        </w:rPr>
        <w:t>–</w:t>
      </w:r>
      <w:r w:rsidRPr="0096231F">
        <w:rPr>
          <w:b/>
        </w:rPr>
        <w:t xml:space="preserve"> </w:t>
      </w:r>
      <w:r w:rsidR="00E11FF2">
        <w:rPr>
          <w:b/>
        </w:rPr>
        <w:t>Impacto da evasão por Centro Acadêmico (Quantidade de desvios-padrão)</w:t>
      </w:r>
    </w:p>
    <w:p w:rsidR="00EB40BD" w:rsidRPr="0096231F" w:rsidRDefault="00EB40BD" w:rsidP="00EB40BD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96231F">
        <w:rPr>
          <w:noProof/>
        </w:rPr>
        <w:drawing>
          <wp:inline distT="0" distB="0" distL="0" distR="0">
            <wp:extent cx="5400040" cy="2650490"/>
            <wp:effectExtent l="0" t="0" r="10160" b="165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2D7D" w:rsidRDefault="00EB40BD" w:rsidP="00EB40BD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96231F">
        <w:rPr>
          <w:sz w:val="20"/>
          <w:szCs w:val="20"/>
        </w:rPr>
        <w:t>Fonte: Elaboração do autor a partir de dados da PR-1/UFRJ.</w:t>
      </w:r>
    </w:p>
    <w:p w:rsidR="004B7D3B" w:rsidRDefault="004B7D3B" w:rsidP="004B7D3B">
      <w:pPr>
        <w:pStyle w:val="NormalWeb"/>
        <w:spacing w:before="0" w:beforeAutospacing="0" w:after="0" w:afterAutospacing="0" w:line="360" w:lineRule="auto"/>
        <w:jc w:val="both"/>
      </w:pPr>
    </w:p>
    <w:p w:rsidR="002676B6" w:rsidRDefault="00D42D7D" w:rsidP="004B7D3B">
      <w:pPr>
        <w:pStyle w:val="NormalWeb"/>
        <w:spacing w:before="0" w:beforeAutospacing="0" w:after="0" w:afterAutospacing="0" w:line="360" w:lineRule="auto"/>
        <w:jc w:val="both"/>
      </w:pPr>
      <w:r w:rsidRPr="0096231F">
        <w:t>Os dados impõem a necessidade de analisar a execução das políticas de acompanhamento impedindo que não ocorra com elas o mesmo que Paul (2015) aponta em relação ao acompanhamento de egressos do ensino superior</w:t>
      </w:r>
      <w:r w:rsidR="00833C68">
        <w:t xml:space="preserve"> no Brasil</w:t>
      </w:r>
      <w:r w:rsidRPr="0096231F">
        <w:t xml:space="preserve">: que estas iniciativas acabem não sendo executadas </w:t>
      </w:r>
      <w:r w:rsidR="00833C68">
        <w:t>na prática</w:t>
      </w:r>
      <w:r w:rsidRPr="0096231F">
        <w:t xml:space="preserve"> e que se tornem apenas procedimentos administrativos de prestação de contas </w:t>
      </w:r>
      <w:r w:rsidR="00833C68">
        <w:t xml:space="preserve">e “preenchimento de formulários” </w:t>
      </w:r>
      <w:r w:rsidRPr="0096231F">
        <w:t>visando unicamente cumprir a Lei 10.681/04 (BRASIL, 20014) e a exigência de “possuir programas de acompanhamento” ainda que este não exista na realidade dos discentes.</w:t>
      </w:r>
      <w:r w:rsidR="004B7D3B">
        <w:t xml:space="preserve"> </w:t>
      </w:r>
      <w:r w:rsidR="000415E9">
        <w:t>A legislação que fornece as bases para as políticas de acompanhamento e apoio pedagógico não apresenta detalhamento das ações que deverão ser desenvo</w:t>
      </w:r>
      <w:r w:rsidR="00BB6D6B">
        <w:t>lvidas pelas i</w:t>
      </w:r>
      <w:r w:rsidR="000415E9">
        <w:t xml:space="preserve">nstituições de ensino superior. O Programa Nacional de Assistência </w:t>
      </w:r>
      <w:r w:rsidR="00BB6D6B">
        <w:t>E</w:t>
      </w:r>
      <w:r w:rsidR="000415E9">
        <w:t xml:space="preserve">studantil lista alguns tópicos importantes, mas a </w:t>
      </w:r>
      <w:proofErr w:type="gramStart"/>
      <w:r w:rsidR="000415E9">
        <w:t>implementação</w:t>
      </w:r>
      <w:proofErr w:type="gramEnd"/>
      <w:r w:rsidR="000415E9">
        <w:t xml:space="preserve"> das atividades e a orga</w:t>
      </w:r>
      <w:r w:rsidR="00BB6D6B">
        <w:t xml:space="preserve">nização dos atendimentos ficou </w:t>
      </w:r>
      <w:r w:rsidR="000415E9">
        <w:t>sob a responsabilidade de</w:t>
      </w:r>
      <w:r w:rsidR="009F34A2">
        <w:t xml:space="preserve"> cada IES</w:t>
      </w:r>
      <w:r w:rsidR="00A2716E">
        <w:t xml:space="preserve"> que dispõem de grande discricionariedade (</w:t>
      </w:r>
      <w:r w:rsidR="006F746E" w:rsidRPr="00BC5E88">
        <w:t>PIRES; LOTTA</w:t>
      </w:r>
      <w:r w:rsidR="00A2716E" w:rsidRPr="00BC5E88">
        <w:t>, 2019</w:t>
      </w:r>
      <w:r w:rsidR="00A2716E">
        <w:t>)</w:t>
      </w:r>
      <w:r w:rsidR="009F34A2">
        <w:t>. Isso promoveu grande diversidade de programas e estratégias pelo país. Assim, não existe um sistema único de políticas e muito menos banco de dados nacionais</w:t>
      </w:r>
      <w:r w:rsidR="00BB6D6B">
        <w:t xml:space="preserve"> com informações sobre estudantes atendidos</w:t>
      </w:r>
      <w:r w:rsidR="009F34A2">
        <w:t xml:space="preserve">. Esse padrão tende a se repetir no interior das universidades, onde cada centro acadêmico </w:t>
      </w:r>
      <w:r w:rsidR="009F34A2">
        <w:lastRenderedPageBreak/>
        <w:t xml:space="preserve">(ou </w:t>
      </w:r>
      <w:r w:rsidR="00433643">
        <w:t>ainda</w:t>
      </w:r>
      <w:r w:rsidR="009F34A2">
        <w:t xml:space="preserve"> cada curso) possui autonomia para formular suas estratégias de acompanhamento. </w:t>
      </w:r>
      <w:r w:rsidR="00A2716E">
        <w:t xml:space="preserve">Essa circunstância faz com que as pesquisas </w:t>
      </w:r>
      <w:r w:rsidR="00397A10">
        <w:t>sejam forçadas a</w:t>
      </w:r>
      <w:r w:rsidR="00A2716E">
        <w:t xml:space="preserve"> se concentrar em estudos de caso</w:t>
      </w:r>
      <w:r w:rsidR="00397A10">
        <w:t>s</w:t>
      </w:r>
      <w:r w:rsidR="00A2716E">
        <w:t xml:space="preserve"> específicos ou em comparações entre </w:t>
      </w:r>
      <w:r w:rsidR="00397A10">
        <w:t>experiências institucionais</w:t>
      </w:r>
      <w:r w:rsidR="00A2716E">
        <w:t>.</w:t>
      </w:r>
      <w:r w:rsidR="004B7D3B">
        <w:t xml:space="preserve"> </w:t>
      </w:r>
      <w:r w:rsidR="008107FC">
        <w:t>As políticas de democratização desenvolvidas nos últimos anos apresentaram o mérito da diversificação do perfil discente no ensino superior brasileiro (</w:t>
      </w:r>
      <w:r w:rsidR="008107FC" w:rsidRPr="00BC5E88">
        <w:t>RIBEIRO; SCHLEGEL, 2015)</w:t>
      </w:r>
      <w:r w:rsidR="008107FC">
        <w:t>. Porém, ainda que o acesso seja mais “democrático” as políticas não são suficientes para alguns segmentos da população porque não necessariamente ocorre</w:t>
      </w:r>
      <w:r w:rsidR="009662AD">
        <w:t>m</w:t>
      </w:r>
      <w:r w:rsidR="008107FC">
        <w:t xml:space="preserve"> mudanças na lógica das instituições </w:t>
      </w:r>
      <w:r w:rsidR="008107FC" w:rsidRPr="008F6333">
        <w:t>(MAGALH</w:t>
      </w:r>
      <w:r w:rsidR="008F6333">
        <w:t>ÃES; MENEZES, 2014</w:t>
      </w:r>
      <w:r w:rsidR="009662AD">
        <w:t>).</w:t>
      </w:r>
      <w:r w:rsidR="008107FC">
        <w:t xml:space="preserve"> A </w:t>
      </w:r>
      <w:proofErr w:type="gramStart"/>
      <w:r w:rsidR="008107FC">
        <w:t>implementação</w:t>
      </w:r>
      <w:proofErr w:type="gramEnd"/>
      <w:r w:rsidR="008107FC">
        <w:t xml:space="preserve"> de uma política pública, ainda que realizada sob “boas intenções” pode não alterar a situação em questão ou </w:t>
      </w:r>
      <w:r w:rsidR="007A7650">
        <w:t>ainda aumentar as desigualdades, pois leis e decisões políticas não são simplesmente executadas e requer participação de num</w:t>
      </w:r>
      <w:r w:rsidR="005C3A09">
        <w:t>erosos agentes e procedimentos (PIRES, 2019). A discricionariedade dos agentes pressup</w:t>
      </w:r>
      <w:r w:rsidR="00E5087A">
        <w:t>õe</w:t>
      </w:r>
      <w:r w:rsidR="005C3A09">
        <w:t xml:space="preserve"> liberdade de ação administrativa para execução mais eficiente dos serviços desde que cumpra a legislação</w:t>
      </w:r>
      <w:r w:rsidR="005C3A09" w:rsidRPr="00307720">
        <w:t xml:space="preserve">. </w:t>
      </w:r>
      <w:proofErr w:type="spellStart"/>
      <w:r w:rsidR="005C3A09" w:rsidRPr="00307720">
        <w:t>Lotta</w:t>
      </w:r>
      <w:proofErr w:type="spellEnd"/>
      <w:r w:rsidR="005C3A09" w:rsidRPr="00307720">
        <w:t xml:space="preserve"> (</w:t>
      </w:r>
      <w:r w:rsidR="00307720">
        <w:t>2012</w:t>
      </w:r>
      <w:r w:rsidR="005C3A09" w:rsidRPr="00307720">
        <w:t>)</w:t>
      </w:r>
      <w:r w:rsidR="009662AD">
        <w:t xml:space="preserve"> ao ter isto em mente indica </w:t>
      </w:r>
      <w:r w:rsidR="005C3A09">
        <w:t xml:space="preserve">que o comportamento dos agentes é </w:t>
      </w:r>
      <w:r w:rsidR="009662AD">
        <w:t xml:space="preserve">recorrentemente </w:t>
      </w:r>
      <w:r w:rsidR="005C3A09">
        <w:t>identificado com o comportamento da instituição.</w:t>
      </w:r>
      <w:r w:rsidR="004B7D3B">
        <w:t xml:space="preserve"> </w:t>
      </w:r>
      <w:r w:rsidR="005C3A09">
        <w:t xml:space="preserve">Discutir esse tema é importante porque </w:t>
      </w:r>
      <w:r w:rsidR="002676B6">
        <w:t>o trabalho das comissões é desenvolvido em um contexto de recursos escassos e alta demanda</w:t>
      </w:r>
      <w:r w:rsidR="00406F55">
        <w:t xml:space="preserve"> por auxílio</w:t>
      </w:r>
      <w:r w:rsidR="002676B6">
        <w:t xml:space="preserve">. </w:t>
      </w:r>
      <w:r w:rsidR="00406F55">
        <w:t>O próprio Decreto 6.096/07 (BRASIL, 2007) que deu origem ao Programa de Apoio a Planos de Reestruturação e Expansão das Universidades Federais (REUNI) que também contempla ações de permanência</w:t>
      </w:r>
      <w:r w:rsidR="004724F6">
        <w:rPr>
          <w:rStyle w:val="Refdenotaderodap"/>
        </w:rPr>
        <w:footnoteReference w:id="6"/>
      </w:r>
      <w:r w:rsidR="004724F6">
        <w:t xml:space="preserve"> determinava que </w:t>
      </w:r>
      <w:r w:rsidR="007409AD">
        <w:t>transferências</w:t>
      </w:r>
      <w:r w:rsidR="004724F6">
        <w:t xml:space="preserve"> de recursos às universidades para investimentos estariam sujeitos às possibilidades orçamentárias do Ministério da Educação.</w:t>
      </w:r>
      <w:r w:rsidR="00406F55">
        <w:t xml:space="preserve"> </w:t>
      </w:r>
      <w:r w:rsidR="002676B6">
        <w:t>Assim, o poder discricionário dos agentes tende a ganhar ainda mais força e seu impacto se intensifica, principalmente quando o apoio (assistencial ou pedagógico) envolver pagamentos de bolsas. A quem atender? Magalhães &amp; Menezes (201</w:t>
      </w:r>
      <w:r w:rsidR="00502ED3">
        <w:t>4</w:t>
      </w:r>
      <w:r w:rsidR="002676B6">
        <w:t xml:space="preserve">) reforçar um argumento clássico (DUBET, 2015) de que a democratização não se resume à “garantia” do acesso. As condições para permanência são extremamente importantes. A UFRJ </w:t>
      </w:r>
      <w:r w:rsidR="00C147DC">
        <w:t>criou</w:t>
      </w:r>
      <w:r w:rsidR="002676B6">
        <w:t xml:space="preserve"> em 2011 a Bolsa de Acesso e Permanência (BAP) para todos que ingressa</w:t>
      </w:r>
      <w:r w:rsidR="00C147DC">
        <w:t>ssem</w:t>
      </w:r>
      <w:r w:rsidR="002676B6">
        <w:t xml:space="preserve"> por meio de reserva de vagas com vigência até o final do primeiro ano, que se consolidou na literatura e nos debates como o período mais crítico para a permanência (ROLAND </w:t>
      </w:r>
      <w:r w:rsidR="002676B6" w:rsidRPr="00C147DC">
        <w:rPr>
          <w:i/>
        </w:rPr>
        <w:t>et. al.,</w:t>
      </w:r>
      <w:r w:rsidR="002676B6">
        <w:t xml:space="preserve"> 2016). Porém, como já salientado ações assistenciais precisam ser apoiadas por medidas de apoio pedagógico e assistência </w:t>
      </w:r>
      <w:r w:rsidR="002676B6">
        <w:lastRenderedPageBreak/>
        <w:t>psicológica destacando os “novos estudantes” oriundos de famílias com capitais sociais menos afluentes e que não foram condicionados socialmente para responder aos estímulos do campo acadêmico (</w:t>
      </w:r>
      <w:r w:rsidR="002676B6" w:rsidRPr="00BC5E88">
        <w:t>COLEMAN, 2012</w:t>
      </w:r>
      <w:r w:rsidR="002676B6" w:rsidRPr="00E5087A">
        <w:t>; B</w:t>
      </w:r>
      <w:r w:rsidR="00C147DC">
        <w:t xml:space="preserve">OURDIEU; </w:t>
      </w:r>
      <w:r w:rsidR="00E5087A">
        <w:t>PASSERON, 1964</w:t>
      </w:r>
      <w:r w:rsidR="002676B6">
        <w:t xml:space="preserve">) e que necessitam aprender o “ofício do estudante” (COULON, 2008). Nos próximos parágrafos serão discutidas algumas ações realizadas pela UFRJ nos últimos anos. </w:t>
      </w:r>
    </w:p>
    <w:p w:rsidR="00F02A17" w:rsidRPr="0096231F" w:rsidRDefault="00F02A17" w:rsidP="004B7D3B">
      <w:pPr>
        <w:pStyle w:val="NormalWeb"/>
        <w:spacing w:before="0" w:beforeAutospacing="0" w:after="0" w:afterAutospacing="0" w:line="360" w:lineRule="auto"/>
        <w:jc w:val="both"/>
      </w:pPr>
      <w:r w:rsidRPr="0096231F">
        <w:t xml:space="preserve">Durante o ano de 2017 foi realizado o </w:t>
      </w:r>
      <w:r w:rsidRPr="000E2F74">
        <w:t>“Fórum de boas práticas de apoio aos estudantes</w:t>
      </w:r>
      <w:proofErr w:type="gramStart"/>
      <w:r w:rsidRPr="000E2F74">
        <w:t>”</w:t>
      </w:r>
      <w:proofErr w:type="gramEnd"/>
      <w:r w:rsidRPr="0096231F">
        <w:rPr>
          <w:rStyle w:val="Refdenotaderodap"/>
        </w:rPr>
        <w:footnoteReference w:id="7"/>
      </w:r>
      <w:r w:rsidRPr="0096231F">
        <w:t xml:space="preserve"> que contou com a participação de coordenadores de cursos de graduação, membros das Comissões e dirigentes de un</w:t>
      </w:r>
      <w:r>
        <w:t>idades acadêmicas. Este evento visava</w:t>
      </w:r>
      <w:r w:rsidRPr="0096231F">
        <w:t xml:space="preserve"> compartilha</w:t>
      </w:r>
      <w:r w:rsidR="00904692">
        <w:t xml:space="preserve">r </w:t>
      </w:r>
      <w:r w:rsidRPr="0096231F">
        <w:t>experiências e aprimora</w:t>
      </w:r>
      <w:r w:rsidR="00904692">
        <w:t>r</w:t>
      </w:r>
      <w:r w:rsidRPr="0096231F">
        <w:t xml:space="preserve"> as ações “impostas” pela legislação nacional e pelas resoluções internas da universidade. A noção de “boas práticas” tem a ver com a maneira como os estudantes são enxergados pela burocracia universitária e como esta lida com os dilemas humanos</w:t>
      </w:r>
      <w:r w:rsidR="00904692">
        <w:t xml:space="preserve"> em sua discricionariedade de ação</w:t>
      </w:r>
      <w:r w:rsidRPr="0096231F">
        <w:t xml:space="preserve"> – sejam de ordem material, emocional, aprendiza</w:t>
      </w:r>
      <w:r w:rsidR="00904692">
        <w:t>gem</w:t>
      </w:r>
      <w:r w:rsidRPr="0096231F">
        <w:t xml:space="preserve"> etc. A maior integração entre a P</w:t>
      </w:r>
      <w:r w:rsidR="000E2F74">
        <w:t>ró-Reitoria de Graduação (PR-1)</w:t>
      </w:r>
      <w:r w:rsidRPr="0096231F">
        <w:t xml:space="preserve"> e as demais instâncias que lidam com os estudantes é apontada como fundamental para o sucesso das iniciativas. Ainda que cada unidade possua suas próprias dinâmicas sociais e possuam autonomia para adotar estratégias próprias de acompanhamento e de prevenção à evasão o apoio institucional da administração central é muito importante para que as atividades se desenvolvam de forma satisfatória. Estas devem ter funcionamento regular, em horário fixo e com canais de contato aberto com os estudantes. </w:t>
      </w:r>
    </w:p>
    <w:p w:rsidR="00F02A17" w:rsidRPr="0096231F" w:rsidRDefault="00F02A17" w:rsidP="004B7D3B">
      <w:pPr>
        <w:pStyle w:val="NormalWeb"/>
        <w:spacing w:before="0" w:beforeAutospacing="0" w:after="0" w:afterAutospacing="0" w:line="360" w:lineRule="auto"/>
        <w:jc w:val="both"/>
      </w:pPr>
      <w:r w:rsidRPr="0096231F">
        <w:t xml:space="preserve">Atividades como palestras, recepção de calouros, </w:t>
      </w:r>
      <w:r w:rsidRPr="00904692">
        <w:rPr>
          <w:i/>
        </w:rPr>
        <w:t xml:space="preserve">sites </w:t>
      </w:r>
      <w:r w:rsidRPr="0096231F">
        <w:t xml:space="preserve">ou páginas em redes sociais são instrumentos importantes que podem ser mobilizados para o acompanhamento acadêmico e garantia de acesso a informações importantes. </w:t>
      </w:r>
      <w:proofErr w:type="spellStart"/>
      <w:r w:rsidRPr="00645672">
        <w:t>Abiatti</w:t>
      </w:r>
      <w:proofErr w:type="spellEnd"/>
      <w:r w:rsidRPr="00645672">
        <w:t xml:space="preserve"> </w:t>
      </w:r>
      <w:r w:rsidRPr="00645672">
        <w:rPr>
          <w:i/>
        </w:rPr>
        <w:t>et. al.</w:t>
      </w:r>
      <w:r w:rsidRPr="00645672">
        <w:t xml:space="preserve"> (2017)</w:t>
      </w:r>
      <w:r w:rsidRPr="0096231F">
        <w:t xml:space="preserve"> indica</w:t>
      </w:r>
      <w:r w:rsidR="00904692">
        <w:t>m</w:t>
      </w:r>
      <w:r w:rsidRPr="0096231F">
        <w:t xml:space="preserve"> que grande parte dos alunos que evadem o fazem devido à assimetria de informações. Garantir a plena inserção nas atividades cotidianas é uma das funções importantes que poderiam favorecer o aprendizado e a maior igualdade de oportunidades no interior das instituições de ensino superior.</w:t>
      </w:r>
      <w:r w:rsidR="002F42C0">
        <w:t xml:space="preserve"> As unidades realizam atividades de apresentação dos cursos e recepção aos calouros, mas grande parte das atividades de inclusão é realizada pelos próprios estudantes organizados em seus respectivos centros acadêmicos. As chamadas “</w:t>
      </w:r>
      <w:proofErr w:type="spellStart"/>
      <w:r w:rsidR="002F42C0">
        <w:t>calouradas</w:t>
      </w:r>
      <w:proofErr w:type="spellEnd"/>
      <w:r w:rsidR="002F42C0">
        <w:t xml:space="preserve">” tendem a ser a experiência que mais se aproxima dos estudantes calouros. Porém, algumas unidades têm </w:t>
      </w:r>
      <w:r w:rsidR="002F42C0">
        <w:lastRenderedPageBreak/>
        <w:t xml:space="preserve">conseguido desenvolver uma série de atividades de recepção voltadas para o esclarecimento de dúvidas e “aclimatação” ao novo ambiente no âmbito da Coordenação de curso e da COAA. Um exemplo importante é o </w:t>
      </w:r>
      <w:r w:rsidR="00904692">
        <w:t>da</w:t>
      </w:r>
      <w:r w:rsidR="002F42C0">
        <w:t xml:space="preserve"> Faculdade de Educação</w:t>
      </w:r>
      <w:r w:rsidR="00392565">
        <w:t xml:space="preserve"> da UFRJ</w:t>
      </w:r>
      <w:r w:rsidR="002F42C0">
        <w:t xml:space="preserve"> (FE</w:t>
      </w:r>
      <w:r w:rsidR="00392565">
        <w:t>/UFRJ</w:t>
      </w:r>
      <w:r w:rsidR="002F42C0">
        <w:t>), mais p</w:t>
      </w:r>
      <w:r w:rsidR="00392565">
        <w:t>recisamente d</w:t>
      </w:r>
      <w:r w:rsidR="002F42C0">
        <w:t>o curso de Pedagogia</w:t>
      </w:r>
      <w:r w:rsidR="00392565">
        <w:t>.</w:t>
      </w:r>
      <w:r w:rsidR="002F42C0">
        <w:t xml:space="preserve"> </w:t>
      </w:r>
      <w:r w:rsidR="00392565">
        <w:t>É realizada</w:t>
      </w:r>
      <w:r w:rsidR="002F42C0">
        <w:t xml:space="preserve"> uma “Semana de Integração</w:t>
      </w:r>
      <w:r w:rsidR="00392565">
        <w:t xml:space="preserve">” </w:t>
      </w:r>
      <w:r w:rsidR="00904692">
        <w:rPr>
          <w:rStyle w:val="Refdenotaderodap"/>
        </w:rPr>
        <w:footnoteReference w:id="8"/>
      </w:r>
      <w:r w:rsidR="002F42C0">
        <w:t xml:space="preserve">, na qual os professores responsáveis pelos estudantes ingressantes são solicitados a liberarem seus alunos para participarem das atividades (e os mesmos também são incentivados a participar). O evento conta com mesas temáticas, palestras, exibição de filmes e outras atividades. </w:t>
      </w:r>
      <w:r w:rsidR="00392565">
        <w:t>Em</w:t>
      </w:r>
      <w:r w:rsidR="002F42C0">
        <w:t xml:space="preserve"> 2018 as atividades foram relacionadas ao aniversário de cinquenta anos da Faculdade de Educação, mas estas atividades continuam a ser realizadas. </w:t>
      </w:r>
      <w:r w:rsidRPr="0096231F">
        <w:t>Entre as maiores dificuldades enfrentadas pelos estudantes</w:t>
      </w:r>
      <w:r w:rsidR="00E41531">
        <w:t xml:space="preserve"> estão questões financeiras,</w:t>
      </w:r>
      <w:r w:rsidRPr="0096231F">
        <w:t xml:space="preserve"> as diferenças em relação ao Ensino médio (avaliações, nível de exigência e volume de estudo exigido, escrita acadêmica, relacionamento com os professores e colegas); para aqueles que concluíram o Ensino médio há mais tempo e/ou são mais velhos as dificuldades de adaptação são ainda maiores. Além disso</w:t>
      </w:r>
      <w:r w:rsidR="00E41531">
        <w:t xml:space="preserve">, há </w:t>
      </w:r>
      <w:r w:rsidRPr="0096231F">
        <w:t xml:space="preserve">dificuldades específicas de cada área. Canais de informação e redes de apoio estruturadas são elementos-chave para lidar com essas questões. </w:t>
      </w:r>
    </w:p>
    <w:p w:rsidR="006F746E" w:rsidRPr="00057B7F" w:rsidRDefault="00F02A17" w:rsidP="004B7D3B">
      <w:pPr>
        <w:pStyle w:val="NormalWeb"/>
        <w:spacing w:before="0" w:beforeAutospacing="0" w:after="0" w:afterAutospacing="0" w:line="360" w:lineRule="auto"/>
        <w:jc w:val="both"/>
      </w:pPr>
      <w:r w:rsidRPr="0096231F">
        <w:t>A PR-1 indica pouca adesão ou procura dos estudantes que têm visualizado a COAA como um instrumento punitivo ao invés de uma instância de auxílio.  Além disso, existe pouca disponibilidade por parte significativa dos professores para fazerem parte das comissões; por não se verem como educadores tendem a resistir a esse tipo de orientação, além da dificuldade de que essa carga horária seja computada para progressão de carreira (esbarrando em outras atividades acadêmicas exigidas na Graduação e Pós-Graduação, além de funções administrativas que eventualmente devem desempenhar</w:t>
      </w:r>
      <w:proofErr w:type="gramStart"/>
      <w:r w:rsidRPr="0096231F">
        <w:t>)</w:t>
      </w:r>
      <w:proofErr w:type="gramEnd"/>
      <w:r w:rsidR="00E41531">
        <w:rPr>
          <w:rStyle w:val="Refdenotaderodap"/>
        </w:rPr>
        <w:footnoteReference w:id="9"/>
      </w:r>
      <w:r w:rsidRPr="0096231F">
        <w:t xml:space="preserve">. Todos esses dilemas devem ser trabalhados por cada unidade, que devem buscar conscientizar a comunidade acadêmica sobre a importância das políticas de acompanhamento para a vida universitária e para a garantia da qualidade do ensino, pesquisa e extensão da universidade. Desfazer visões pré-concebidas sobre as </w:t>
      </w:r>
      <w:proofErr w:type="spellStart"/>
      <w:r w:rsidRPr="0096231F">
        <w:t>COAA</w:t>
      </w:r>
      <w:r w:rsidR="002F42C0">
        <w:t>’</w:t>
      </w:r>
      <w:r w:rsidRPr="0096231F">
        <w:t>s</w:t>
      </w:r>
      <w:proofErr w:type="spellEnd"/>
      <w:r w:rsidRPr="0096231F">
        <w:t xml:space="preserve"> e despertar interesse em agentes que não teriam retorno objetivo de suas participações são grandes desafios enfrentados. </w:t>
      </w:r>
    </w:p>
    <w:p w:rsidR="004F0A9E" w:rsidRPr="0096231F" w:rsidRDefault="00F02A17" w:rsidP="004B7D3B">
      <w:pPr>
        <w:pStyle w:val="NormalWeb"/>
        <w:spacing w:before="0" w:beforeAutospacing="0" w:after="0" w:afterAutospacing="0" w:line="360" w:lineRule="auto"/>
        <w:jc w:val="both"/>
      </w:pPr>
      <w:r w:rsidRPr="0096231F">
        <w:t xml:space="preserve">Os desafios enfrentados pelas Coordenações </w:t>
      </w:r>
      <w:r w:rsidR="00B847AB">
        <w:t>de Orientação e Acompanhamento A</w:t>
      </w:r>
      <w:r w:rsidRPr="0096231F">
        <w:t>cadêmico</w:t>
      </w:r>
      <w:r w:rsidR="00B847AB">
        <w:t xml:space="preserve"> (COAA)</w:t>
      </w:r>
      <w:r w:rsidRPr="0096231F">
        <w:t xml:space="preserve"> são enormes e tendem a se aprofundar em um contexto de crise </w:t>
      </w:r>
      <w:r w:rsidRPr="0096231F">
        <w:lastRenderedPageBreak/>
        <w:t xml:space="preserve">econômica e ajuste fiscal, no qual as condições que as universidades possuem para garantir bolsas assistenciais e acadêmicas aos estudantes de graduação se deterioram. Os obstáculos materiais para a permanência dos estudantes, principalmente daqueles com menor renda, são os mais difíceis de serem transpostos já que ultrapassam as possibilidades de atuação dessas instâncias. </w:t>
      </w:r>
      <w:r w:rsidR="00B847AB">
        <w:t xml:space="preserve">Essas dificuldades ocorrem em meio a discussões sobre financiamento das universidades envolvidas em grandes polêmicas que podem aumentar a insegurança dos estudantes. </w:t>
      </w:r>
      <w:r w:rsidRPr="0096231F">
        <w:t xml:space="preserve">Como indicado anteriormente, elementos não materiais ou “subjetivos” também influenciam nas possibilidades de evasão discente. A inserção dos estudantes na vida universitária e a formação de um sentimento de pertencimento à universidade também são dimensões importantes. Dessa maneira, a realização de atividades de recepção aos calouros, palestras e trabalhos de orientação pedagógica e acadêmica são essenciais principalmente para os estudantes de “primeira geração”, que por serem os primeiros de suas famílias a cursar ensino superior não possuem referenciais que guiem suas </w:t>
      </w:r>
      <w:proofErr w:type="gramStart"/>
      <w:r w:rsidRPr="0096231F">
        <w:t>trajetórias.</w:t>
      </w:r>
      <w:proofErr w:type="gramEnd"/>
      <w:r w:rsidRPr="0096231F">
        <w:t>O grande desafio que a literatura e a análise dos dados indica</w:t>
      </w:r>
      <w:r w:rsidR="004F0A9E">
        <w:t>m</w:t>
      </w:r>
      <w:r w:rsidRPr="0096231F">
        <w:t xml:space="preserve"> é garantir que todos os estudantes sejam acompanhados de forma perene durante o curso.</w:t>
      </w:r>
      <w:r w:rsidR="004F0A9E">
        <w:t xml:space="preserve"> </w:t>
      </w:r>
      <w:r w:rsidRPr="0096231F">
        <w:t xml:space="preserve">Ainda não existem dados disponíveis que permitam visualizar de forma </w:t>
      </w:r>
      <w:r w:rsidR="004F0A9E">
        <w:t>mais ampla como o apoio pedagógico</w:t>
      </w:r>
      <w:r w:rsidRPr="0096231F">
        <w:t xml:space="preserve"> tem sido realizado em todas as unidades nem seus resultados em termos de dados de evasão e desempenho acadêmico dos estudantes. A construção de banco de dados ainda é algo incipiente que depende de cada unidade</w:t>
      </w:r>
      <w:r w:rsidR="004F0A9E">
        <w:t xml:space="preserve"> e de suas burocracias</w:t>
      </w:r>
      <w:r w:rsidRPr="0096231F">
        <w:t>. A existência dessas informações facilitariam a elaboração de relatórios comparativos e a proposição de alternativas de aprimoramento da gestão, das estratégias de acompanhamento e de aproximação com o corpo discente e de incentivos aos professores tutores.</w:t>
      </w:r>
      <w:r w:rsidR="004B7D3B">
        <w:t xml:space="preserve"> </w:t>
      </w:r>
      <w:r w:rsidRPr="0096231F">
        <w:t>Os dados da UFRJ indicam que a evasão é um grande problema. Segundo os dados da Pró-Reitoria</w:t>
      </w:r>
      <w:r w:rsidR="004F0A9E">
        <w:t xml:space="preserve"> de Graduação</w:t>
      </w:r>
      <w:r w:rsidRPr="0096231F">
        <w:t xml:space="preserve">, levantados por meio do </w:t>
      </w:r>
      <w:r w:rsidR="004F0A9E">
        <w:t>Sistema Integrado de Gestão Acadêmica (SIGA)</w:t>
      </w:r>
      <w:r w:rsidRPr="0096231F">
        <w:t xml:space="preserve"> e analisados no decorrer do texto ind</w:t>
      </w:r>
      <w:r w:rsidR="00057B7F">
        <w:t>icam que entre 2012 e 2017 25.5</w:t>
      </w:r>
      <w:r w:rsidRPr="0096231F">
        <w:t xml:space="preserve">02 estudantes evadiram. Ainda que os números da evasão por centro acadêmico não se afastem substantivamente da média geral da UFRJ isso não significa que este não é um problema </w:t>
      </w:r>
      <w:r w:rsidR="004F0A9E">
        <w:t>para as</w:t>
      </w:r>
      <w:r w:rsidRPr="0096231F">
        <w:t xml:space="preserve"> políticas institucionais</w:t>
      </w:r>
      <w:r w:rsidR="004F0A9E">
        <w:t xml:space="preserve"> da universidade.</w:t>
      </w:r>
      <w:r w:rsidR="004B7D3B">
        <w:t xml:space="preserve"> </w:t>
      </w:r>
      <w:r w:rsidRPr="0096231F">
        <w:t xml:space="preserve">A conclusão dos cursos </w:t>
      </w:r>
      <w:r w:rsidR="004F0A9E">
        <w:t>é um dos principais elementos de democratização</w:t>
      </w:r>
      <w:r w:rsidRPr="0096231F">
        <w:t xml:space="preserve">. Cada estudante que evade é um prejuízo social e econômico devido aos recursos mobilizados para a formação do futuro profissional cujos serviços </w:t>
      </w:r>
      <w:proofErr w:type="gramStart"/>
      <w:r w:rsidRPr="0096231F">
        <w:t>a</w:t>
      </w:r>
      <w:proofErr w:type="gramEnd"/>
      <w:r w:rsidRPr="0096231F">
        <w:t xml:space="preserve"> sociedade será privada de usufruir. Quando falamos em prejuízos para os indivíduos é preciso visualizar os sentimentos de frustração e sofrimento, mas também o potencial desperdício de talentos e habilidades que talvez não sejam mais resgatados após a </w:t>
      </w:r>
      <w:r w:rsidRPr="0096231F">
        <w:lastRenderedPageBreak/>
        <w:t xml:space="preserve">“decisão” pela evasão do curso. Assim, políticas de acompanhamento acadêmico dos discentes do ensino superior são extremamente necessárias e necessitam estar em espaço central nas discussões sobre o presente e o futuro das universidades no Brasil. </w:t>
      </w:r>
      <w:r w:rsidR="004F0A9E">
        <w:t>As discussões sobre acompanhamento na universidade são uma etapa importante para a concretização de outro sistema importante: o de acompanhamento de egressos que também é previsto em lei, mas que também é incipiente. Formar melhor os estudantes e promover o ingresso no mercado de trabalho</w:t>
      </w:r>
      <w:r w:rsidR="004F0A9E">
        <w:rPr>
          <w:rStyle w:val="Refdenotaderodap"/>
        </w:rPr>
        <w:footnoteReference w:id="10"/>
      </w:r>
      <w:r w:rsidR="004F0A9E">
        <w:t xml:space="preserve"> é um forte elemento de redução de desigualdades sociais.  </w:t>
      </w:r>
    </w:p>
    <w:p w:rsidR="00F02A17" w:rsidRPr="0096231F" w:rsidRDefault="00F02A17" w:rsidP="00F02A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2A17" w:rsidRPr="002E13AA" w:rsidRDefault="00F02A17" w:rsidP="00F02A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3AA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645672" w:rsidRPr="00645672" w:rsidRDefault="00645672" w:rsidP="006456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AA">
        <w:rPr>
          <w:rFonts w:ascii="Times New Roman" w:hAnsi="Times New Roman" w:cs="Times New Roman"/>
          <w:iCs/>
          <w:sz w:val="24"/>
          <w:szCs w:val="24"/>
        </w:rPr>
        <w:t xml:space="preserve">ABBIATTI, </w:t>
      </w:r>
      <w:proofErr w:type="spellStart"/>
      <w:r w:rsidRPr="002E13AA">
        <w:rPr>
          <w:rFonts w:ascii="Times New Roman" w:hAnsi="Times New Roman" w:cs="Times New Roman"/>
          <w:iCs/>
          <w:sz w:val="24"/>
          <w:szCs w:val="24"/>
        </w:rPr>
        <w:t>Giovani</w:t>
      </w:r>
      <w:proofErr w:type="spellEnd"/>
      <w:r w:rsidRPr="002E13AA">
        <w:rPr>
          <w:rFonts w:ascii="Times New Roman" w:hAnsi="Times New Roman" w:cs="Times New Roman"/>
          <w:iCs/>
          <w:sz w:val="24"/>
          <w:szCs w:val="24"/>
        </w:rPr>
        <w:t xml:space="preserve">; ARGENTIN, </w:t>
      </w:r>
      <w:proofErr w:type="spellStart"/>
      <w:r w:rsidRPr="002E13AA">
        <w:rPr>
          <w:rFonts w:ascii="Times New Roman" w:hAnsi="Times New Roman" w:cs="Times New Roman"/>
          <w:iCs/>
          <w:sz w:val="24"/>
          <w:szCs w:val="24"/>
        </w:rPr>
        <w:t>Gianluca</w:t>
      </w:r>
      <w:proofErr w:type="spellEnd"/>
      <w:r w:rsidRPr="002E13AA">
        <w:rPr>
          <w:rFonts w:ascii="Times New Roman" w:hAnsi="Times New Roman" w:cs="Times New Roman"/>
          <w:iCs/>
          <w:sz w:val="24"/>
          <w:szCs w:val="24"/>
        </w:rPr>
        <w:t xml:space="preserve">; BARONE, Carlo; SCHIZZEROTTO, Antonio. </w:t>
      </w:r>
      <w:r w:rsidRPr="00050830">
        <w:rPr>
          <w:rFonts w:ascii="Times New Roman" w:hAnsi="Times New Roman" w:cs="Times New Roman"/>
          <w:sz w:val="24"/>
          <w:szCs w:val="24"/>
          <w:lang w:val="en-GB"/>
        </w:rPr>
        <w:t xml:space="preserve">Information Barriers, Social Inequality, and Plans for Higher Education: Evidence from a Field Experiment. </w:t>
      </w:r>
      <w:proofErr w:type="spellStart"/>
      <w:r w:rsidRPr="0005083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5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30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Pr="0005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30">
        <w:rPr>
          <w:rFonts w:ascii="Times New Roman" w:hAnsi="Times New Roman" w:cs="Times New Roman"/>
          <w:sz w:val="24"/>
          <w:szCs w:val="24"/>
        </w:rPr>
        <w:t>Revie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>, Vol. 33, No. 1, 84–96. 2017.</w:t>
      </w:r>
    </w:p>
    <w:p w:rsidR="00F02A17" w:rsidRPr="0096231F" w:rsidRDefault="00F02A17" w:rsidP="00F02A17">
      <w:pPr>
        <w:pStyle w:val="NormalWeb"/>
        <w:spacing w:before="0" w:beforeAutospacing="0" w:after="0" w:afterAutospacing="0" w:line="360" w:lineRule="auto"/>
        <w:jc w:val="both"/>
        <w:rPr>
          <w:iCs/>
        </w:rPr>
      </w:pPr>
      <w:r w:rsidRPr="0096231F">
        <w:rPr>
          <w:iCs/>
        </w:rPr>
        <w:t xml:space="preserve">ALMEIDA, </w:t>
      </w:r>
      <w:proofErr w:type="spellStart"/>
      <w:r w:rsidRPr="0096231F">
        <w:rPr>
          <w:iCs/>
        </w:rPr>
        <w:t>W.M.</w:t>
      </w:r>
      <w:proofErr w:type="spellEnd"/>
      <w:r w:rsidRPr="0096231F">
        <w:rPr>
          <w:iCs/>
        </w:rPr>
        <w:t xml:space="preserve"> USP para todos?</w:t>
      </w:r>
      <w:r w:rsidR="007B71F3">
        <w:rPr>
          <w:iCs/>
        </w:rPr>
        <w:t xml:space="preserve"> </w:t>
      </w:r>
      <w:r w:rsidRPr="0096231F">
        <w:rPr>
          <w:iCs/>
        </w:rPr>
        <w:t>: estudantes com desvantagens socioeconômicas e educacionais e fruição da universidade pública. São Paulo: Musa Editora, 2009.</w:t>
      </w:r>
    </w:p>
    <w:p w:rsidR="00F02A17" w:rsidRPr="0096231F" w:rsidRDefault="00F02A17" w:rsidP="00F02A17">
      <w:pPr>
        <w:pStyle w:val="NormalWeb"/>
        <w:spacing w:before="0" w:beforeAutospacing="0" w:after="0" w:afterAutospacing="0" w:line="360" w:lineRule="auto"/>
        <w:jc w:val="both"/>
        <w:rPr>
          <w:iCs/>
        </w:rPr>
      </w:pPr>
    </w:p>
    <w:p w:rsidR="00F02A17" w:rsidRDefault="00F02A17" w:rsidP="00F02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1F">
        <w:rPr>
          <w:rFonts w:ascii="Times New Roman" w:hAnsi="Times New Roman" w:cs="Times New Roman"/>
          <w:sz w:val="24"/>
          <w:szCs w:val="24"/>
        </w:rPr>
        <w:t xml:space="preserve">BORGES, Eduardo </w:t>
      </w:r>
      <w:proofErr w:type="spellStart"/>
      <w:r w:rsidRPr="0096231F">
        <w:rPr>
          <w:rFonts w:ascii="Times New Roman" w:hAnsi="Times New Roman" w:cs="Times New Roman"/>
          <w:sz w:val="24"/>
          <w:szCs w:val="24"/>
        </w:rPr>
        <w:t>H.N.</w:t>
      </w:r>
      <w:proofErr w:type="spellEnd"/>
      <w:r w:rsidRPr="0096231F">
        <w:rPr>
          <w:rFonts w:ascii="Times New Roman" w:hAnsi="Times New Roman" w:cs="Times New Roman"/>
          <w:sz w:val="24"/>
          <w:szCs w:val="24"/>
        </w:rPr>
        <w:t xml:space="preserve"> </w:t>
      </w:r>
      <w:r w:rsidRPr="0096231F">
        <w:rPr>
          <w:rFonts w:ascii="Times New Roman" w:hAnsi="Times New Roman" w:cs="Times New Roman"/>
          <w:sz w:val="24"/>
          <w:szCs w:val="24"/>
          <w:shd w:val="clear" w:color="auto" w:fill="FFFFFF"/>
        </w:rPr>
        <w:t>As desigualdades educacionais e a escolha da carreira: entre as expectativas de futuro e as possibilidades objetivas</w:t>
      </w:r>
      <w:r w:rsidRPr="0096231F">
        <w:rPr>
          <w:rFonts w:ascii="Times New Roman" w:hAnsi="Times New Roman" w:cs="Times New Roman"/>
          <w:sz w:val="24"/>
          <w:szCs w:val="24"/>
        </w:rPr>
        <w:t xml:space="preserve"> / Eduardo Henrique Narciso Borges. 119f. Dissertação (Mestrado em Sociologia) – Universidade Federal do Rio de Janeiro – UFRJ, Instituto de Filosofia e Ciências Sociais – IFCS. Rio de Janeiro, 2017.</w:t>
      </w:r>
    </w:p>
    <w:p w:rsidR="00E5087A" w:rsidRPr="00E5087A" w:rsidRDefault="00E5087A" w:rsidP="00F02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AA">
        <w:rPr>
          <w:rFonts w:ascii="Times New Roman" w:hAnsi="Times New Roman" w:cs="Times New Roman"/>
          <w:sz w:val="24"/>
          <w:szCs w:val="24"/>
          <w:lang w:val="fr-FR"/>
        </w:rPr>
        <w:t xml:space="preserve">BOURDIEU, Pierre;  PASSERON, Jean Claude. </w:t>
      </w:r>
      <w:r w:rsidRPr="00E5087A">
        <w:rPr>
          <w:rFonts w:ascii="Times New Roman" w:hAnsi="Times New Roman" w:cs="Times New Roman"/>
          <w:bCs/>
          <w:color w:val="000000"/>
          <w:sz w:val="24"/>
          <w:szCs w:val="24"/>
        </w:rPr>
        <w:t>Os herdeiros: os estudantes e a cultura.</w:t>
      </w:r>
      <w:r w:rsidRPr="00E5087A">
        <w:rPr>
          <w:rFonts w:ascii="Times New Roman" w:hAnsi="Times New Roman" w:cs="Times New Roman"/>
          <w:color w:val="000000"/>
          <w:sz w:val="24"/>
          <w:szCs w:val="24"/>
        </w:rPr>
        <w:t xml:space="preserve"> Florianópolis: Ed. da UFSC, 2013. (1964).</w:t>
      </w:r>
    </w:p>
    <w:p w:rsidR="00E43A78" w:rsidRDefault="00E43A78" w:rsidP="00E43A78">
      <w:pPr>
        <w:pStyle w:val="NormalWeb"/>
        <w:spacing w:before="0" w:beforeAutospacing="0" w:after="0" w:afterAutospacing="0" w:line="360" w:lineRule="auto"/>
        <w:jc w:val="both"/>
      </w:pPr>
      <w:r w:rsidRPr="00E43A78">
        <w:rPr>
          <w:iCs/>
        </w:rPr>
        <w:t xml:space="preserve">BRASIL. LEI N° 10.681, DE 14 DE ABRIL DE 2004. </w:t>
      </w:r>
      <w:r w:rsidRPr="00E43A78">
        <w:t xml:space="preserve">Institui o Sistema Nacional de Avaliação da Educação Superior – SINAES e dá outras providências. Disponível em: </w:t>
      </w:r>
      <w:hyperlink r:id="rId11" w:history="1">
        <w:r w:rsidR="00323507" w:rsidRPr="00707275">
          <w:rPr>
            <w:rStyle w:val="Hyperlink"/>
          </w:rPr>
          <w:t>http://www.planalto.gov.br/ccivil_03/_ato2004-2006/2004/lei/l10.861.htm</w:t>
        </w:r>
      </w:hyperlink>
      <w:r w:rsidR="00323507" w:rsidRPr="00323507">
        <w:t>.</w:t>
      </w:r>
      <w:r w:rsidR="00323507">
        <w:t xml:space="preserve"> </w:t>
      </w:r>
      <w:r w:rsidR="00323507" w:rsidRPr="00323507">
        <w:t>Acesso em 26/07/2019</w:t>
      </w:r>
      <w:r w:rsidRPr="00E43A78">
        <w:t>.</w:t>
      </w:r>
    </w:p>
    <w:p w:rsidR="004724F6" w:rsidRPr="004724F6" w:rsidRDefault="004724F6" w:rsidP="004724F6">
      <w:pPr>
        <w:pStyle w:val="NormalWeb"/>
        <w:spacing w:line="360" w:lineRule="auto"/>
        <w:jc w:val="both"/>
      </w:pPr>
      <w:r>
        <w:t xml:space="preserve">BRASIL. DECRETO N° 6.096, DE 24 DE ABRIL DE 2007. </w:t>
      </w:r>
      <w:r w:rsidRPr="004724F6">
        <w:t xml:space="preserve">Institui o Programa de Apoio </w:t>
      </w:r>
      <w:proofErr w:type="gramStart"/>
      <w:r w:rsidRPr="004724F6">
        <w:t>a Planos</w:t>
      </w:r>
      <w:proofErr w:type="gramEnd"/>
      <w:r w:rsidRPr="004724F6">
        <w:t xml:space="preserve"> de Reestruturação e Expansão das Universidades Federais - REUNI.</w:t>
      </w:r>
      <w:r>
        <w:t xml:space="preserve"> </w:t>
      </w:r>
      <w:r>
        <w:lastRenderedPageBreak/>
        <w:t xml:space="preserve">Disponível em: </w:t>
      </w:r>
      <w:hyperlink r:id="rId12" w:history="1">
        <w:r>
          <w:rPr>
            <w:rStyle w:val="Hyperlink"/>
          </w:rPr>
          <w:t>http://www.planalto.gov.br/ccivil_03/_Ato2007-2010/2007/Decreto/D6096.htm</w:t>
        </w:r>
      </w:hyperlink>
      <w:r>
        <w:t xml:space="preserve">. Acesso em 12/09/2019. </w:t>
      </w:r>
    </w:p>
    <w:p w:rsidR="00E43A78" w:rsidRPr="00E43A78" w:rsidRDefault="00E43A78" w:rsidP="00E43A7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r w:rsidRPr="00E43A78">
        <w:rPr>
          <w:rFonts w:ascii="Times New Roman" w:hAnsi="Times New Roman" w:cs="Times New Roman"/>
          <w:sz w:val="24"/>
          <w:szCs w:val="24"/>
        </w:rPr>
        <w:t xml:space="preserve">BRASIL. </w:t>
      </w:r>
      <w:r w:rsidRPr="00E43A78">
        <w:rPr>
          <w:rFonts w:ascii="Times New Roman" w:hAnsi="Times New Roman" w:cs="Times New Roman"/>
          <w:bCs/>
          <w:color w:val="000000"/>
          <w:sz w:val="24"/>
          <w:szCs w:val="24"/>
        </w:rPr>
        <w:t>PORTARIA NORMATIVA Nº 39, DE 12 DE DEZEMBRO DE 2007</w:t>
      </w:r>
      <w:r w:rsidRPr="00E43A78">
        <w:rPr>
          <w:rFonts w:ascii="Times New Roman" w:hAnsi="Times New Roman" w:cs="Times New Roman"/>
          <w:bCs/>
          <w:sz w:val="24"/>
          <w:szCs w:val="24"/>
        </w:rPr>
        <w:t>.</w:t>
      </w:r>
      <w:r w:rsidRPr="00E43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A78">
        <w:rPr>
          <w:rFonts w:ascii="Times New Roman" w:hAnsi="Times New Roman" w:cs="Times New Roman"/>
          <w:sz w:val="24"/>
          <w:szCs w:val="24"/>
        </w:rPr>
        <w:t xml:space="preserve"> Institui o Programa Nacional de Assistência Estudantil - PNAES. Disponível em: </w:t>
      </w:r>
      <w:r w:rsidR="004E3956" w:rsidRPr="00E43A7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fldChar w:fldCharType="begin"/>
      </w:r>
      <w:r w:rsidRPr="00E43A7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instrText xml:space="preserve"> HYPERLINK "http://portal.mec.gov.br/arquivos/pdf/portaria_pnaes.pdf" </w:instrText>
      </w:r>
      <w:r w:rsidR="004E3956" w:rsidRPr="00E43A7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fldChar w:fldCharType="separate"/>
      </w:r>
      <w:r w:rsidRPr="00E43A7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E43A78">
          <w:rPr>
            <w:rStyle w:val="Hyperlink"/>
            <w:rFonts w:ascii="Times New Roman" w:hAnsi="Times New Roman" w:cs="Times New Roman"/>
            <w:sz w:val="24"/>
            <w:szCs w:val="24"/>
          </w:rPr>
          <w:t>http://portal.mec.gov.br/arquivos/pdf/portaria_pnaes.pdf</w:t>
        </w:r>
      </w:hyperlink>
      <w:r w:rsidRPr="00E43A78">
        <w:rPr>
          <w:rFonts w:ascii="Times New Roman" w:hAnsi="Times New Roman" w:cs="Times New Roman"/>
          <w:sz w:val="24"/>
          <w:szCs w:val="24"/>
        </w:rPr>
        <w:t>.</w:t>
      </w:r>
      <w:r w:rsidRPr="00E43A78">
        <w:rPr>
          <w:rFonts w:ascii="Times New Roman" w:eastAsia="Times New Roman" w:hAnsi="Times New Roman" w:cs="Times New Roman"/>
          <w:color w:val="006621"/>
          <w:sz w:val="24"/>
          <w:szCs w:val="24"/>
          <w:lang w:eastAsia="pt-BR"/>
        </w:rPr>
        <w:t xml:space="preserve">  </w:t>
      </w:r>
      <w:r w:rsidRPr="00E43A78">
        <w:rPr>
          <w:rFonts w:ascii="Times New Roman" w:eastAsia="Times New Roman" w:hAnsi="Times New Roman" w:cs="Times New Roman"/>
          <w:sz w:val="24"/>
          <w:szCs w:val="24"/>
          <w:lang w:eastAsia="pt-BR"/>
        </w:rPr>
        <w:t>Acesso  em 26/07/2019.</w:t>
      </w:r>
      <w:r w:rsidRPr="00E43A78">
        <w:rPr>
          <w:rFonts w:ascii="Times New Roman" w:eastAsia="Times New Roman" w:hAnsi="Times New Roman" w:cs="Times New Roman"/>
          <w:color w:val="006621"/>
          <w:sz w:val="24"/>
          <w:szCs w:val="24"/>
          <w:lang w:eastAsia="pt-BR"/>
        </w:rPr>
        <w:t xml:space="preserve"> </w:t>
      </w:r>
    </w:p>
    <w:p w:rsidR="00753CFE" w:rsidRPr="00753CFE" w:rsidRDefault="004E3956" w:rsidP="00753CFE">
      <w:pPr>
        <w:pStyle w:val="ementa"/>
        <w:shd w:val="clear" w:color="auto" w:fill="FFFFFF"/>
        <w:spacing w:line="360" w:lineRule="auto"/>
        <w:jc w:val="both"/>
      </w:pPr>
      <w:r w:rsidRPr="00E43A78">
        <w:rPr>
          <w:color w:val="222222"/>
        </w:rPr>
        <w:fldChar w:fldCharType="end"/>
      </w:r>
      <w:r w:rsidR="00753CFE" w:rsidRPr="00753CFE">
        <w:rPr>
          <w:color w:val="222222"/>
        </w:rPr>
        <w:t xml:space="preserve">BRASIL. LEI N° 12.711, DE 29 DE AGOSTO DE 2012. </w:t>
      </w:r>
      <w:r w:rsidR="00753CFE" w:rsidRPr="00753CFE">
        <w:t xml:space="preserve">Dispõe sobre o ingresso nas universidades federais e nas instituições federais de ensino técnico de nível médio e dá outras providências. Disponível em: </w:t>
      </w:r>
      <w:hyperlink r:id="rId14" w:history="1">
        <w:r w:rsidR="00753CFE" w:rsidRPr="00753CFE">
          <w:rPr>
            <w:rStyle w:val="Hyperlink"/>
          </w:rPr>
          <w:t>http://www.planalto.gov.br/ccivil_03/_ato2011-2014/2012/lei/l12711.htm</w:t>
        </w:r>
      </w:hyperlink>
      <w:r w:rsidR="00753CFE" w:rsidRPr="00753CFE">
        <w:t xml:space="preserve">. Acesso em 09/09/2019. </w:t>
      </w:r>
    </w:p>
    <w:p w:rsidR="00BC5E88" w:rsidRPr="002E13AA" w:rsidRDefault="00753CFE" w:rsidP="00753CFE">
      <w:pPr>
        <w:pStyle w:val="ementa"/>
        <w:shd w:val="clear" w:color="auto" w:fill="FFFFFF"/>
        <w:spacing w:line="360" w:lineRule="auto"/>
        <w:jc w:val="both"/>
        <w:rPr>
          <w:lang w:val="en-US"/>
        </w:rPr>
      </w:pPr>
      <w:r w:rsidRPr="00753CFE">
        <w:rPr>
          <w:color w:val="222222"/>
        </w:rPr>
        <w:t xml:space="preserve">BRASIL. LEI N° 13.409, DE 28 DE DEZEMBRO DE 2016. </w:t>
      </w:r>
      <w:r w:rsidRPr="00753CFE">
        <w:rPr>
          <w:color w:val="212529"/>
        </w:rPr>
        <w:t xml:space="preserve">Altera a Lei nº 12.711, de 29 de agosto de 2012, para dispor sobre a reserva de vagas para </w:t>
      </w:r>
      <w:proofErr w:type="gramStart"/>
      <w:r w:rsidRPr="00753CFE">
        <w:rPr>
          <w:color w:val="212529"/>
        </w:rPr>
        <w:t>pessoas com deficiência nos cursos técnico</w:t>
      </w:r>
      <w:r w:rsidR="004724F6">
        <w:rPr>
          <w:color w:val="212529"/>
        </w:rPr>
        <w:t xml:space="preserve"> (sic)</w:t>
      </w:r>
      <w:r w:rsidRPr="00753CFE">
        <w:rPr>
          <w:color w:val="212529"/>
        </w:rPr>
        <w:t xml:space="preserve"> de nível médio e superior das instituições federais de ensino</w:t>
      </w:r>
      <w:proofErr w:type="gramEnd"/>
      <w:r w:rsidRPr="00753CFE">
        <w:rPr>
          <w:color w:val="212529"/>
        </w:rPr>
        <w:t xml:space="preserve">. Disponível em: </w:t>
      </w:r>
      <w:hyperlink r:id="rId15" w:history="1">
        <w:r w:rsidRPr="00753CFE">
          <w:rPr>
            <w:rStyle w:val="Hyperlink"/>
          </w:rPr>
          <w:t>https://www2.camara.leg.br/legin/fed/lei/2016/lei-13409-28-dezembro-2016-784149-publicacaooriginal-151756-pl.html</w:t>
        </w:r>
      </w:hyperlink>
      <w:r w:rsidRPr="00753CFE">
        <w:t xml:space="preserve">. </w:t>
      </w:r>
      <w:proofErr w:type="spellStart"/>
      <w:proofErr w:type="gramStart"/>
      <w:r w:rsidRPr="002E13AA">
        <w:rPr>
          <w:lang w:val="en-US"/>
        </w:rPr>
        <w:t>Acesso</w:t>
      </w:r>
      <w:proofErr w:type="spellEnd"/>
      <w:r w:rsidRPr="002E13AA">
        <w:rPr>
          <w:lang w:val="en-US"/>
        </w:rPr>
        <w:t xml:space="preserve"> </w:t>
      </w:r>
      <w:proofErr w:type="spellStart"/>
      <w:r w:rsidRPr="002E13AA">
        <w:rPr>
          <w:lang w:val="en-US"/>
        </w:rPr>
        <w:t>em</w:t>
      </w:r>
      <w:proofErr w:type="spellEnd"/>
      <w:r w:rsidRPr="002E13AA">
        <w:rPr>
          <w:lang w:val="en-US"/>
        </w:rPr>
        <w:t xml:space="preserve"> 09/09/2019.</w:t>
      </w:r>
      <w:proofErr w:type="gramEnd"/>
    </w:p>
    <w:p w:rsidR="00753CFE" w:rsidRPr="00BC5E88" w:rsidRDefault="00BC5E88" w:rsidP="00BC5E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5E88">
        <w:rPr>
          <w:rFonts w:ascii="Times New Roman" w:hAnsi="Times New Roman" w:cs="Times New Roman"/>
          <w:sz w:val="24"/>
          <w:szCs w:val="24"/>
          <w:lang w:val="en-GB"/>
        </w:rPr>
        <w:t xml:space="preserve">COLEMAN, James. The creation and destruction of social capital: implications for the law. </w:t>
      </w:r>
      <w:proofErr w:type="gramStart"/>
      <w:r w:rsidRPr="00BC5E88">
        <w:rPr>
          <w:rFonts w:ascii="Times New Roman" w:hAnsi="Times New Roman" w:cs="Times New Roman"/>
          <w:sz w:val="24"/>
          <w:szCs w:val="24"/>
          <w:lang w:val="en-GB"/>
        </w:rPr>
        <w:t>Notre Dame Journal of Law, Ethics &amp; Public Policy.</w:t>
      </w:r>
      <w:proofErr w:type="gramEnd"/>
      <w:r w:rsidRPr="00BC5E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BC5E88">
        <w:rPr>
          <w:rFonts w:ascii="Times New Roman" w:hAnsi="Times New Roman" w:cs="Times New Roman"/>
          <w:sz w:val="24"/>
          <w:szCs w:val="24"/>
          <w:lang w:val="en-GB"/>
        </w:rPr>
        <w:t>v.3, 2012.</w:t>
      </w:r>
      <w:proofErr w:type="gramEnd"/>
      <w:r w:rsidRPr="00BC5E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02A17" w:rsidRDefault="00F02A17" w:rsidP="00F02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  <w:lang w:val="en-GB"/>
        </w:rPr>
        <w:t xml:space="preserve">COULON, Alain. </w:t>
      </w:r>
      <w:r w:rsidRPr="0096231F">
        <w:rPr>
          <w:rFonts w:ascii="Times New Roman" w:hAnsi="Times New Roman" w:cs="Times New Roman"/>
          <w:sz w:val="24"/>
          <w:szCs w:val="24"/>
        </w:rPr>
        <w:t xml:space="preserve">A condição de estudante: a entrada na vida universitária. Salvador: </w:t>
      </w:r>
      <w:proofErr w:type="spellStart"/>
      <w:r w:rsidRPr="0096231F">
        <w:rPr>
          <w:rFonts w:ascii="Times New Roman" w:hAnsi="Times New Roman" w:cs="Times New Roman"/>
          <w:sz w:val="24"/>
          <w:szCs w:val="24"/>
        </w:rPr>
        <w:t>Edufba</w:t>
      </w:r>
      <w:proofErr w:type="spellEnd"/>
      <w:r w:rsidRPr="0096231F">
        <w:rPr>
          <w:rFonts w:ascii="Times New Roman" w:hAnsi="Times New Roman" w:cs="Times New Roman"/>
          <w:sz w:val="24"/>
          <w:szCs w:val="24"/>
        </w:rPr>
        <w:t>, 2008.</w:t>
      </w:r>
    </w:p>
    <w:p w:rsidR="001A3277" w:rsidRPr="00433643" w:rsidRDefault="001A3277" w:rsidP="001A32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D6">
        <w:rPr>
          <w:rFonts w:ascii="Times New Roman" w:hAnsi="Times New Roman" w:cs="Times New Roman"/>
          <w:sz w:val="24"/>
          <w:szCs w:val="24"/>
        </w:rPr>
        <w:t xml:space="preserve">D’AVILA, G. </w:t>
      </w:r>
      <w:proofErr w:type="gramStart"/>
      <w:r w:rsidRPr="00AF2FD6">
        <w:rPr>
          <w:rFonts w:ascii="Times New Roman" w:hAnsi="Times New Roman" w:cs="Times New Roman"/>
          <w:sz w:val="24"/>
          <w:szCs w:val="24"/>
        </w:rPr>
        <w:t>T ;</w:t>
      </w:r>
      <w:proofErr w:type="gramEnd"/>
      <w:r w:rsidRPr="00AF2FD6">
        <w:rPr>
          <w:rFonts w:ascii="Times New Roman" w:hAnsi="Times New Roman" w:cs="Times New Roman"/>
          <w:sz w:val="24"/>
          <w:szCs w:val="24"/>
        </w:rPr>
        <w:t xml:space="preserve"> KRAWULSKI, Edite ; VERIGUINI, Nádia Rocha ; SOARES, Dulce Helena P. </w:t>
      </w:r>
      <w:r w:rsidRPr="007C069C">
        <w:rPr>
          <w:rFonts w:ascii="Times New Roman" w:hAnsi="Times New Roman" w:cs="Times New Roman"/>
          <w:sz w:val="24"/>
          <w:szCs w:val="24"/>
        </w:rPr>
        <w:t>Ac</w:t>
      </w:r>
      <w:r w:rsidRPr="00173824">
        <w:rPr>
          <w:rFonts w:ascii="Times New Roman" w:hAnsi="Times New Roman" w:cs="Times New Roman"/>
          <w:sz w:val="24"/>
          <w:szCs w:val="24"/>
        </w:rPr>
        <w:t>esso ao ensino superi</w:t>
      </w:r>
      <w:r w:rsidRPr="00050830">
        <w:rPr>
          <w:rFonts w:ascii="Times New Roman" w:hAnsi="Times New Roman" w:cs="Times New Roman"/>
          <w:sz w:val="24"/>
          <w:szCs w:val="24"/>
        </w:rPr>
        <w:t xml:space="preserve">or e o projeto de “ser alguém” para vestibulandos de um cursinho popular. </w:t>
      </w:r>
      <w:r w:rsidRPr="00865DB8">
        <w:rPr>
          <w:rFonts w:ascii="Times New Roman" w:hAnsi="Times New Roman" w:cs="Times New Roman"/>
          <w:iCs/>
          <w:sz w:val="24"/>
          <w:szCs w:val="24"/>
        </w:rPr>
        <w:t>Psicologia &amp; S</w:t>
      </w:r>
      <w:r w:rsidRPr="00433643">
        <w:rPr>
          <w:rFonts w:ascii="Times New Roman" w:hAnsi="Times New Roman" w:cs="Times New Roman"/>
          <w:iCs/>
          <w:sz w:val="24"/>
          <w:szCs w:val="24"/>
        </w:rPr>
        <w:t>ociedade, 23</w:t>
      </w:r>
      <w:r w:rsidRPr="00433643">
        <w:rPr>
          <w:rFonts w:ascii="Times New Roman" w:hAnsi="Times New Roman" w:cs="Times New Roman"/>
          <w:sz w:val="24"/>
          <w:szCs w:val="24"/>
        </w:rPr>
        <w:t>(2), 350-358, 2011.</w:t>
      </w:r>
    </w:p>
    <w:p w:rsidR="00F02A17" w:rsidRPr="0096231F" w:rsidRDefault="00F02A17" w:rsidP="00F02A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1F">
        <w:rPr>
          <w:rFonts w:ascii="Times New Roman" w:hAnsi="Times New Roman" w:cs="Times New Roman"/>
          <w:sz w:val="24"/>
          <w:szCs w:val="24"/>
        </w:rPr>
        <w:t xml:space="preserve">DUBET, François. Qual a democratização do ensino superior? Caderno CRH, Salvador, v.28, n.74. Maio/Agosto, 2015. </w:t>
      </w:r>
    </w:p>
    <w:p w:rsidR="00F02A17" w:rsidRPr="0096231F" w:rsidRDefault="00F02A17" w:rsidP="00F02A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1F">
        <w:rPr>
          <w:rFonts w:ascii="Times New Roman" w:hAnsi="Times New Roman" w:cs="Times New Roman"/>
          <w:sz w:val="24"/>
          <w:szCs w:val="24"/>
        </w:rPr>
        <w:t xml:space="preserve">HERINGER, Rosana. Ação afirmativa à brasileira: </w:t>
      </w:r>
      <w:proofErr w:type="spellStart"/>
      <w:r w:rsidRPr="0096231F">
        <w:rPr>
          <w:rFonts w:ascii="Times New Roman" w:hAnsi="Times New Roman" w:cs="Times New Roman"/>
          <w:sz w:val="24"/>
          <w:szCs w:val="24"/>
        </w:rPr>
        <w:t>institucionalidade</w:t>
      </w:r>
      <w:proofErr w:type="spellEnd"/>
      <w:r w:rsidRPr="0096231F">
        <w:rPr>
          <w:rFonts w:ascii="Times New Roman" w:hAnsi="Times New Roman" w:cs="Times New Roman"/>
          <w:sz w:val="24"/>
          <w:szCs w:val="24"/>
        </w:rPr>
        <w:t xml:space="preserve">, sucessos e limites da inclusão de estudantes negros no ensino superior no Brasil (2001-2008). </w:t>
      </w:r>
      <w:r w:rsidR="00977A1E">
        <w:rPr>
          <w:rFonts w:ascii="Times New Roman" w:hAnsi="Times New Roman" w:cs="Times New Roman"/>
          <w:sz w:val="24"/>
          <w:szCs w:val="24"/>
        </w:rPr>
        <w:t>(</w:t>
      </w:r>
      <w:r w:rsidRPr="0096231F">
        <w:rPr>
          <w:rFonts w:ascii="Times New Roman" w:hAnsi="Times New Roman" w:cs="Times New Roman"/>
          <w:sz w:val="24"/>
          <w:szCs w:val="24"/>
        </w:rPr>
        <w:t>p.117-144</w:t>
      </w:r>
      <w:r w:rsidR="00977A1E">
        <w:rPr>
          <w:rFonts w:ascii="Times New Roman" w:hAnsi="Times New Roman" w:cs="Times New Roman"/>
          <w:sz w:val="24"/>
          <w:szCs w:val="24"/>
        </w:rPr>
        <w:t>)</w:t>
      </w:r>
      <w:r w:rsidRPr="0096231F">
        <w:rPr>
          <w:rFonts w:ascii="Times New Roman" w:hAnsi="Times New Roman" w:cs="Times New Roman"/>
          <w:sz w:val="24"/>
          <w:szCs w:val="24"/>
        </w:rPr>
        <w:t xml:space="preserve">. In: PAIVA, </w:t>
      </w:r>
      <w:proofErr w:type="spellStart"/>
      <w:r w:rsidRPr="0096231F">
        <w:rPr>
          <w:rFonts w:ascii="Times New Roman" w:hAnsi="Times New Roman" w:cs="Times New Roman"/>
          <w:sz w:val="24"/>
          <w:szCs w:val="24"/>
        </w:rPr>
        <w:t>Angela</w:t>
      </w:r>
      <w:proofErr w:type="spellEnd"/>
      <w:r w:rsidRPr="0096231F">
        <w:rPr>
          <w:rFonts w:ascii="Times New Roman" w:hAnsi="Times New Roman" w:cs="Times New Roman"/>
          <w:sz w:val="24"/>
          <w:szCs w:val="24"/>
        </w:rPr>
        <w:t xml:space="preserve"> (Org.) Entre dados e fatos: ação afirmativa nas universidades públicas brasileiras. Rio de Janeiro: </w:t>
      </w:r>
      <w:proofErr w:type="spellStart"/>
      <w:r w:rsidRPr="0096231F">
        <w:rPr>
          <w:rFonts w:ascii="Times New Roman" w:hAnsi="Times New Roman" w:cs="Times New Roman"/>
          <w:sz w:val="24"/>
          <w:szCs w:val="24"/>
        </w:rPr>
        <w:t>PUC-Rio</w:t>
      </w:r>
      <w:proofErr w:type="spellEnd"/>
      <w:r w:rsidRPr="00962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31F">
        <w:rPr>
          <w:rFonts w:ascii="Times New Roman" w:hAnsi="Times New Roman" w:cs="Times New Roman"/>
          <w:sz w:val="24"/>
          <w:szCs w:val="24"/>
        </w:rPr>
        <w:t>Pallas</w:t>
      </w:r>
      <w:proofErr w:type="spellEnd"/>
      <w:r w:rsidRPr="0096231F">
        <w:rPr>
          <w:rFonts w:ascii="Times New Roman" w:hAnsi="Times New Roman" w:cs="Times New Roman"/>
          <w:sz w:val="24"/>
          <w:szCs w:val="24"/>
        </w:rPr>
        <w:t xml:space="preserve"> Ed., 2010. </w:t>
      </w:r>
    </w:p>
    <w:p w:rsidR="00F02A17" w:rsidRPr="0096231F" w:rsidRDefault="00F02A17" w:rsidP="00F02A17">
      <w:pPr>
        <w:pStyle w:val="NormalWeb"/>
        <w:spacing w:before="0" w:beforeAutospacing="0" w:after="0" w:afterAutospacing="0" w:line="360" w:lineRule="auto"/>
        <w:jc w:val="both"/>
      </w:pPr>
      <w:r w:rsidRPr="0096231F">
        <w:rPr>
          <w:iCs/>
        </w:rPr>
        <w:t>HERINGER, Rosana. Expectativas de acesso ao ensino superior: um estudo de caso na Cidade de Deus, Rio de Janeiro</w:t>
      </w:r>
      <w:r w:rsidRPr="0096231F">
        <w:t>. Rio de Janeiro: Edição do Autor (</w:t>
      </w:r>
      <w:proofErr w:type="spellStart"/>
      <w:r w:rsidRPr="0096231F">
        <w:t>ebook</w:t>
      </w:r>
      <w:proofErr w:type="spellEnd"/>
      <w:r w:rsidRPr="0096231F">
        <w:t>), 2013.</w:t>
      </w:r>
    </w:p>
    <w:p w:rsidR="00F02A17" w:rsidRPr="0096231F" w:rsidRDefault="00F02A17" w:rsidP="00F02A17">
      <w:pPr>
        <w:pStyle w:val="NormalWeb"/>
        <w:spacing w:before="0" w:beforeAutospacing="0" w:after="0" w:afterAutospacing="0" w:line="360" w:lineRule="auto"/>
        <w:jc w:val="both"/>
      </w:pPr>
    </w:p>
    <w:p w:rsidR="00F02A17" w:rsidRPr="0096231F" w:rsidRDefault="00F02A17" w:rsidP="00F02A17">
      <w:pPr>
        <w:pStyle w:val="NormalWeb"/>
        <w:spacing w:before="0" w:beforeAutospacing="0" w:after="0" w:afterAutospacing="0" w:line="360" w:lineRule="auto"/>
        <w:jc w:val="both"/>
      </w:pPr>
      <w:r w:rsidRPr="0096231F">
        <w:rPr>
          <w:iCs/>
          <w:color w:val="231F20"/>
        </w:rPr>
        <w:t>_______________</w:t>
      </w:r>
      <w:r w:rsidRPr="0096231F">
        <w:t>. O acesso ao curso de Pedagogia da UFRJ: análise a partir dos ingressantes em 2011-2012. In: HERINGER; HONORATO (</w:t>
      </w:r>
      <w:proofErr w:type="spellStart"/>
      <w:r w:rsidRPr="0096231F">
        <w:t>Orgs</w:t>
      </w:r>
      <w:proofErr w:type="spellEnd"/>
      <w:r w:rsidRPr="0096231F">
        <w:t xml:space="preserve">.). Acesso e sucesso no ensino superior: uma sociologia dos estudantes. Rio de Janeiro: </w:t>
      </w:r>
      <w:proofErr w:type="gramStart"/>
      <w:r w:rsidRPr="0096231F">
        <w:t>7</w:t>
      </w:r>
      <w:proofErr w:type="gramEnd"/>
      <w:r w:rsidRPr="0096231F">
        <w:t xml:space="preserve"> Letras: FAPERJ, 2015.</w:t>
      </w:r>
    </w:p>
    <w:p w:rsidR="00F02A17" w:rsidRPr="0096231F" w:rsidRDefault="00F02A17" w:rsidP="00F02A17">
      <w:pPr>
        <w:pStyle w:val="NormalWeb"/>
        <w:spacing w:before="0" w:beforeAutospacing="0" w:after="0" w:afterAutospacing="0" w:line="360" w:lineRule="auto"/>
        <w:jc w:val="both"/>
      </w:pPr>
    </w:p>
    <w:p w:rsidR="00F02A17" w:rsidRDefault="00F02A17" w:rsidP="00F02A17">
      <w:pPr>
        <w:pStyle w:val="Default"/>
        <w:spacing w:line="360" w:lineRule="auto"/>
        <w:jc w:val="both"/>
        <w:rPr>
          <w:iCs/>
        </w:rPr>
      </w:pPr>
      <w:r w:rsidRPr="0096231F">
        <w:t xml:space="preserve">HERINGER, Rosana; VARGAS, </w:t>
      </w:r>
      <w:proofErr w:type="spellStart"/>
      <w:r w:rsidRPr="0096231F">
        <w:t>Hustana</w:t>
      </w:r>
      <w:proofErr w:type="spellEnd"/>
      <w:r w:rsidRPr="0096231F">
        <w:t xml:space="preserve">. Políticas de permanência no ensino superior público em perspectiva comparada: Argentina, Brasil e Chile. </w:t>
      </w:r>
      <w:proofErr w:type="spellStart"/>
      <w:r w:rsidRPr="0096231F">
        <w:rPr>
          <w:iCs/>
        </w:rPr>
        <w:t>Education</w:t>
      </w:r>
      <w:proofErr w:type="spellEnd"/>
      <w:r w:rsidRPr="0096231F">
        <w:rPr>
          <w:iCs/>
        </w:rPr>
        <w:t xml:space="preserve"> </w:t>
      </w:r>
      <w:proofErr w:type="spellStart"/>
      <w:r w:rsidRPr="0096231F">
        <w:rPr>
          <w:iCs/>
        </w:rPr>
        <w:t>Policy</w:t>
      </w:r>
      <w:proofErr w:type="spellEnd"/>
      <w:r w:rsidRPr="0096231F">
        <w:rPr>
          <w:iCs/>
        </w:rPr>
        <w:t xml:space="preserve"> </w:t>
      </w:r>
      <w:proofErr w:type="spellStart"/>
      <w:r w:rsidRPr="0096231F">
        <w:rPr>
          <w:iCs/>
        </w:rPr>
        <w:t>Analysis</w:t>
      </w:r>
      <w:proofErr w:type="spellEnd"/>
      <w:r w:rsidRPr="0096231F">
        <w:rPr>
          <w:iCs/>
        </w:rPr>
        <w:t xml:space="preserve"> </w:t>
      </w:r>
      <w:proofErr w:type="spellStart"/>
      <w:r w:rsidRPr="0096231F">
        <w:rPr>
          <w:iCs/>
        </w:rPr>
        <w:t>Archives</w:t>
      </w:r>
      <w:proofErr w:type="spellEnd"/>
      <w:r w:rsidRPr="0096231F">
        <w:rPr>
          <w:iCs/>
        </w:rPr>
        <w:t xml:space="preserve"> Vol. 25 No. 72, 2017. </w:t>
      </w:r>
    </w:p>
    <w:p w:rsidR="00E5087A" w:rsidRDefault="00E5087A" w:rsidP="00F02A17">
      <w:pPr>
        <w:pStyle w:val="Default"/>
        <w:spacing w:line="360" w:lineRule="auto"/>
        <w:jc w:val="both"/>
        <w:rPr>
          <w:iCs/>
        </w:rPr>
      </w:pPr>
    </w:p>
    <w:p w:rsidR="00E5087A" w:rsidRPr="0096231F" w:rsidRDefault="00E5087A" w:rsidP="00F02A17">
      <w:pPr>
        <w:pStyle w:val="Default"/>
        <w:spacing w:line="360" w:lineRule="auto"/>
        <w:jc w:val="both"/>
        <w:rPr>
          <w:iCs/>
        </w:rPr>
      </w:pPr>
      <w:r w:rsidRPr="00AF2FD6">
        <w:rPr>
          <w:iCs/>
        </w:rPr>
        <w:t xml:space="preserve">LOTTA, Gabriela. O papel das burocracias do nível da rua na </w:t>
      </w:r>
      <w:proofErr w:type="gramStart"/>
      <w:r w:rsidRPr="00AF2FD6">
        <w:rPr>
          <w:iCs/>
        </w:rPr>
        <w:t>implementação</w:t>
      </w:r>
      <w:proofErr w:type="gramEnd"/>
      <w:r w:rsidRPr="00AF2FD6">
        <w:rPr>
          <w:iCs/>
        </w:rPr>
        <w:t xml:space="preserve"> de políticas públicas: entre o controle e a discricionariedade. In:</w:t>
      </w:r>
      <w:r>
        <w:rPr>
          <w:iCs/>
        </w:rPr>
        <w:t xml:space="preserve"> </w:t>
      </w:r>
      <w:proofErr w:type="gramStart"/>
      <w:r w:rsidR="00AF2FD6">
        <w:rPr>
          <w:iCs/>
        </w:rPr>
        <w:t>FARIA,</w:t>
      </w:r>
      <w:proofErr w:type="gramEnd"/>
      <w:r w:rsidR="00AF2FD6">
        <w:rPr>
          <w:iCs/>
        </w:rPr>
        <w:t xml:space="preserve"> Carlos Aurélio P. (Org.).  </w:t>
      </w:r>
      <w:proofErr w:type="gramStart"/>
      <w:r w:rsidR="00AF2FD6">
        <w:rPr>
          <w:iCs/>
        </w:rPr>
        <w:t>Implementação</w:t>
      </w:r>
      <w:proofErr w:type="gramEnd"/>
      <w:r w:rsidR="00AF2FD6">
        <w:rPr>
          <w:iCs/>
        </w:rPr>
        <w:t xml:space="preserve"> de políticas públicas: teoria e prática. Belo Horizonte: Editora PUC Minas, 2012.  </w:t>
      </w:r>
    </w:p>
    <w:p w:rsidR="00502ED3" w:rsidRDefault="00502ED3" w:rsidP="00E43A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3A78" w:rsidRPr="00502ED3" w:rsidRDefault="00502ED3" w:rsidP="00E43A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2E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MAGALHÃES, </w:t>
      </w:r>
      <w:proofErr w:type="spellStart"/>
      <w:r w:rsidRPr="00502ED3">
        <w:rPr>
          <w:rFonts w:ascii="Times New Roman" w:eastAsia="Times New Roman" w:hAnsi="Times New Roman" w:cs="Times New Roman"/>
          <w:sz w:val="24"/>
          <w:szCs w:val="24"/>
          <w:lang w:eastAsia="pt-BR"/>
        </w:rPr>
        <w:t>Rosélia</w:t>
      </w:r>
      <w:proofErr w:type="spellEnd"/>
      <w:r w:rsidRPr="00502E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P.; MENEZES, Simone C. Ação afirmativa na UFRJ: implantação de uma política e dilemas da permanência. </w:t>
      </w:r>
      <w:r w:rsidRPr="00502ED3">
        <w:rPr>
          <w:rFonts w:ascii="Times New Roman" w:hAnsi="Times New Roman" w:cs="Times New Roman"/>
          <w:sz w:val="24"/>
          <w:szCs w:val="24"/>
        </w:rPr>
        <w:t xml:space="preserve">O Social em Questão, n. 32, 2014. </w:t>
      </w:r>
    </w:p>
    <w:p w:rsidR="00502ED3" w:rsidRDefault="00502ED3" w:rsidP="00E43A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3A78" w:rsidRPr="00E43A78" w:rsidRDefault="00E43A78" w:rsidP="00E43A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A78">
        <w:rPr>
          <w:rFonts w:ascii="Times New Roman" w:eastAsia="Times New Roman" w:hAnsi="Times New Roman" w:cs="Times New Roman"/>
          <w:sz w:val="24"/>
          <w:szCs w:val="24"/>
          <w:lang w:eastAsia="pt-BR"/>
        </w:rPr>
        <w:t>MARTÍN JAIME, Fernando; DUFOU</w:t>
      </w:r>
      <w:r w:rsidR="00977A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R, Gustavo; ALESSANDRO, Martín </w:t>
      </w:r>
      <w:r w:rsidRPr="00E43A7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E43A78">
        <w:rPr>
          <w:rFonts w:ascii="Times New Roman" w:eastAsia="Times New Roman" w:hAnsi="Times New Roman" w:cs="Times New Roman"/>
          <w:sz w:val="24"/>
          <w:szCs w:val="24"/>
          <w:lang w:eastAsia="pt-BR"/>
        </w:rPr>
        <w:t>Orgs</w:t>
      </w:r>
      <w:proofErr w:type="spellEnd"/>
      <w:r w:rsidRPr="00E43A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.). </w:t>
      </w:r>
      <w:proofErr w:type="spellStart"/>
      <w:r w:rsidRPr="00E43A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Introducción</w:t>
      </w:r>
      <w:proofErr w:type="spellEnd"/>
      <w:r w:rsidRPr="00E43A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proofErr w:type="gramStart"/>
      <w:r w:rsidRPr="00E43A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al</w:t>
      </w:r>
      <w:proofErr w:type="spellEnd"/>
      <w:proofErr w:type="gramEnd"/>
      <w:r w:rsidRPr="00E43A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E43A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análisis</w:t>
      </w:r>
      <w:proofErr w:type="spellEnd"/>
      <w:r w:rsidRPr="00E43A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políticas públicas</w:t>
      </w:r>
      <w:r w:rsidRPr="00E43A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1. </w:t>
      </w:r>
      <w:proofErr w:type="gramStart"/>
      <w:r w:rsidRPr="00E43A78">
        <w:rPr>
          <w:rFonts w:ascii="Times New Roman" w:eastAsia="Times New Roman" w:hAnsi="Times New Roman" w:cs="Times New Roman"/>
          <w:sz w:val="24"/>
          <w:szCs w:val="24"/>
          <w:lang w:eastAsia="pt-BR"/>
        </w:rPr>
        <w:t>ed.</w:t>
      </w:r>
      <w:proofErr w:type="gramEnd"/>
      <w:r w:rsidRPr="00E43A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43A78">
        <w:rPr>
          <w:rFonts w:ascii="Times New Roman" w:eastAsia="Times New Roman" w:hAnsi="Times New Roman" w:cs="Times New Roman"/>
          <w:sz w:val="24"/>
          <w:szCs w:val="24"/>
          <w:lang w:eastAsia="pt-BR"/>
        </w:rPr>
        <w:t>Florencio</w:t>
      </w:r>
      <w:proofErr w:type="spellEnd"/>
      <w:r w:rsidRPr="00E43A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Varela: Univ</w:t>
      </w:r>
      <w:r w:rsidR="00977A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E43A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Nacional Arturo </w:t>
      </w:r>
      <w:proofErr w:type="spellStart"/>
      <w:r w:rsidRPr="00E43A78">
        <w:rPr>
          <w:rFonts w:ascii="Times New Roman" w:eastAsia="Times New Roman" w:hAnsi="Times New Roman" w:cs="Times New Roman"/>
          <w:sz w:val="24"/>
          <w:szCs w:val="24"/>
          <w:lang w:eastAsia="pt-BR"/>
        </w:rPr>
        <w:t>Jauretche</w:t>
      </w:r>
      <w:proofErr w:type="spellEnd"/>
      <w:r w:rsidRPr="00E43A78">
        <w:rPr>
          <w:rFonts w:ascii="Times New Roman" w:eastAsia="Times New Roman" w:hAnsi="Times New Roman" w:cs="Times New Roman"/>
          <w:sz w:val="24"/>
          <w:szCs w:val="24"/>
          <w:lang w:eastAsia="pt-BR"/>
        </w:rPr>
        <w:t>, 2013. (</w:t>
      </w:r>
      <w:proofErr w:type="spellStart"/>
      <w:r w:rsidRPr="00E43A78">
        <w:rPr>
          <w:rFonts w:ascii="Times New Roman" w:eastAsia="Times New Roman" w:hAnsi="Times New Roman" w:cs="Times New Roman"/>
          <w:sz w:val="24"/>
          <w:szCs w:val="24"/>
          <w:lang w:eastAsia="pt-BR"/>
        </w:rPr>
        <w:t>Manuales</w:t>
      </w:r>
      <w:proofErr w:type="spellEnd"/>
      <w:r w:rsidRPr="00E43A78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F02A17" w:rsidRPr="0096231F" w:rsidRDefault="00F02A17" w:rsidP="00F02A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A17" w:rsidRPr="0096231F" w:rsidRDefault="00F02A17" w:rsidP="00F02A17">
      <w:pPr>
        <w:pStyle w:val="Default"/>
        <w:spacing w:line="360" w:lineRule="auto"/>
        <w:jc w:val="both"/>
        <w:rPr>
          <w:iCs/>
        </w:rPr>
      </w:pPr>
      <w:proofErr w:type="spellStart"/>
      <w:r w:rsidRPr="0096231F">
        <w:t>MONT’ALVÃO</w:t>
      </w:r>
      <w:proofErr w:type="spellEnd"/>
      <w:r w:rsidRPr="0096231F">
        <w:t xml:space="preserve">, Arnaldo. Diferenciação institucional e desigualdades no ensino superior. Revista Brasileira de Ciências Sociais, </w:t>
      </w:r>
      <w:r w:rsidRPr="0096231F">
        <w:rPr>
          <w:iCs/>
        </w:rPr>
        <w:t>v. 30, n° 88 junho/2015.</w:t>
      </w:r>
    </w:p>
    <w:p w:rsidR="00F02A17" w:rsidRPr="0096231F" w:rsidRDefault="00F02A17" w:rsidP="00F02A17">
      <w:pPr>
        <w:pStyle w:val="Default"/>
        <w:spacing w:line="360" w:lineRule="auto"/>
        <w:jc w:val="both"/>
        <w:rPr>
          <w:iCs/>
        </w:rPr>
      </w:pPr>
    </w:p>
    <w:p w:rsidR="00F02A17" w:rsidRPr="0096231F" w:rsidRDefault="00F02A17" w:rsidP="00F02A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1F">
        <w:rPr>
          <w:rFonts w:ascii="Times New Roman" w:hAnsi="Times New Roman" w:cs="Times New Roman"/>
          <w:sz w:val="24"/>
          <w:szCs w:val="24"/>
        </w:rPr>
        <w:t>MORAIS, Juliana Athayde Silva de. “Caminhadas de Universitários de Origem Popular”: trajetórias de acesso ao ensino superior federal brasileiro. 180 f. Dissertação (mestrado). Programa de Pós-Graduação em Sociologia e Antropologia. Rio de Janeiro: UFRJ/ IFCS, 2013.</w:t>
      </w:r>
    </w:p>
    <w:p w:rsidR="00F02A17" w:rsidRPr="0096231F" w:rsidRDefault="00F02A17" w:rsidP="00F02A17">
      <w:pPr>
        <w:pStyle w:val="Default"/>
        <w:spacing w:line="360" w:lineRule="auto"/>
        <w:jc w:val="both"/>
        <w:rPr>
          <w:iCs/>
          <w:color w:val="auto"/>
        </w:rPr>
      </w:pPr>
    </w:p>
    <w:p w:rsidR="00F02A17" w:rsidRDefault="00F02A17" w:rsidP="00A92A40">
      <w:pPr>
        <w:pStyle w:val="Default"/>
        <w:spacing w:line="360" w:lineRule="auto"/>
        <w:jc w:val="both"/>
        <w:rPr>
          <w:iCs/>
          <w:color w:val="auto"/>
        </w:rPr>
      </w:pPr>
      <w:r w:rsidRPr="0096231F">
        <w:rPr>
          <w:iCs/>
          <w:color w:val="auto"/>
        </w:rPr>
        <w:lastRenderedPageBreak/>
        <w:t xml:space="preserve">NEVES, </w:t>
      </w:r>
      <w:proofErr w:type="spellStart"/>
      <w:proofErr w:type="gramStart"/>
      <w:r w:rsidRPr="0096231F">
        <w:rPr>
          <w:iCs/>
          <w:color w:val="auto"/>
        </w:rPr>
        <w:t>C.E.</w:t>
      </w:r>
      <w:proofErr w:type="spellEnd"/>
      <w:proofErr w:type="gramEnd"/>
      <w:r w:rsidRPr="0096231F">
        <w:rPr>
          <w:iCs/>
          <w:color w:val="auto"/>
        </w:rPr>
        <w:t>B; SAMPAIO, Helena; HERINGER, Rosana</w:t>
      </w:r>
      <w:r w:rsidRPr="0096231F">
        <w:rPr>
          <w:i/>
          <w:iCs/>
          <w:color w:val="auto"/>
        </w:rPr>
        <w:t xml:space="preserve">. </w:t>
      </w:r>
      <w:r w:rsidRPr="0096231F">
        <w:rPr>
          <w:iCs/>
          <w:color w:val="auto"/>
        </w:rPr>
        <w:t xml:space="preserve">A institucionalização da pesquisa sobre ensino superior no Brasil. Revista Brasileira de Sociologia, v.6, n.12, </w:t>
      </w:r>
      <w:proofErr w:type="spellStart"/>
      <w:r w:rsidRPr="0096231F">
        <w:rPr>
          <w:iCs/>
          <w:color w:val="auto"/>
        </w:rPr>
        <w:t>Jan-Abr</w:t>
      </w:r>
      <w:proofErr w:type="spellEnd"/>
      <w:r w:rsidRPr="0096231F">
        <w:rPr>
          <w:iCs/>
          <w:color w:val="auto"/>
        </w:rPr>
        <w:t xml:space="preserve">, 2018. </w:t>
      </w:r>
    </w:p>
    <w:p w:rsidR="00A92A40" w:rsidRPr="00A92A40" w:rsidRDefault="00A92A40" w:rsidP="00A92A40">
      <w:pPr>
        <w:pStyle w:val="Default"/>
        <w:spacing w:line="360" w:lineRule="auto"/>
        <w:jc w:val="both"/>
        <w:rPr>
          <w:iCs/>
          <w:color w:val="auto"/>
        </w:rPr>
      </w:pPr>
    </w:p>
    <w:p w:rsidR="00F02A17" w:rsidRDefault="00F02A17" w:rsidP="00F02A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1F">
        <w:rPr>
          <w:rFonts w:ascii="Times New Roman" w:hAnsi="Times New Roman" w:cs="Times New Roman"/>
          <w:sz w:val="24"/>
          <w:szCs w:val="24"/>
        </w:rPr>
        <w:t>PIOTTO, Débora. Estudantes das camadas populares na USP: encontros com a desigualdade social.</w:t>
      </w:r>
      <w:r w:rsidR="00A92A40">
        <w:rPr>
          <w:rFonts w:ascii="Times New Roman" w:hAnsi="Times New Roman" w:cs="Times New Roman"/>
          <w:sz w:val="24"/>
          <w:szCs w:val="24"/>
        </w:rPr>
        <w:t xml:space="preserve"> (p</w:t>
      </w:r>
      <w:r w:rsidR="00A92A40" w:rsidRPr="0096231F">
        <w:rPr>
          <w:rFonts w:ascii="Times New Roman" w:hAnsi="Times New Roman" w:cs="Times New Roman"/>
          <w:sz w:val="24"/>
          <w:szCs w:val="24"/>
        </w:rPr>
        <w:t>.133-167</w:t>
      </w:r>
      <w:r w:rsidR="00A92A40">
        <w:rPr>
          <w:rFonts w:ascii="Times New Roman" w:hAnsi="Times New Roman" w:cs="Times New Roman"/>
          <w:sz w:val="24"/>
          <w:szCs w:val="24"/>
        </w:rPr>
        <w:t>)</w:t>
      </w:r>
      <w:r w:rsidR="00A92A40" w:rsidRPr="0096231F">
        <w:rPr>
          <w:rFonts w:ascii="Times New Roman" w:hAnsi="Times New Roman" w:cs="Times New Roman"/>
          <w:sz w:val="24"/>
          <w:szCs w:val="24"/>
        </w:rPr>
        <w:t>.</w:t>
      </w:r>
      <w:r w:rsidRPr="0096231F">
        <w:rPr>
          <w:rFonts w:ascii="Times New Roman" w:hAnsi="Times New Roman" w:cs="Times New Roman"/>
          <w:sz w:val="24"/>
          <w:szCs w:val="24"/>
        </w:rPr>
        <w:t xml:space="preserve"> In: PIOTTO (Org.) Camadas populares e universidades públicas. São Carlos: Pedro &amp; João Editores, 2014. </w:t>
      </w:r>
    </w:p>
    <w:p w:rsidR="00E5087A" w:rsidRDefault="00E5087A" w:rsidP="00E50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PIRES, Roberto Rocha. Introdução. (p.13-53). In: PIRES, Roberto Rocha C. (Org.) </w:t>
      </w:r>
      <w:proofErr w:type="gramStart"/>
      <w:r>
        <w:rPr>
          <w:rFonts w:ascii="Times New Roman" w:hAnsi="Times New Roman" w:cs="Times New Roman"/>
          <w:sz w:val="24"/>
          <w:szCs w:val="24"/>
        </w:rPr>
        <w:t>Implementando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desigualdades</w:t>
      </w:r>
      <w:r w:rsidRPr="00E43A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reprodução de desigualdades na </w:t>
      </w:r>
      <w:r w:rsidRPr="00E43A78">
        <w:rPr>
          <w:rFonts w:ascii="Times New Roman" w:hAnsi="Times New Roman" w:cs="Times New Roman"/>
          <w:sz w:val="24"/>
          <w:szCs w:val="24"/>
        </w:rPr>
        <w:t>implementação de políticas públicas</w:t>
      </w:r>
      <w:r>
        <w:rPr>
          <w:rFonts w:ascii="Times New Roman" w:hAnsi="Times New Roman" w:cs="Times New Roman"/>
          <w:sz w:val="24"/>
          <w:szCs w:val="24"/>
        </w:rPr>
        <w:t>. Rio de Janeiro: IPEA, 2019.</w:t>
      </w:r>
    </w:p>
    <w:p w:rsidR="00E5087A" w:rsidRDefault="00E5087A" w:rsidP="00E43A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78" w:rsidRDefault="00E43A78" w:rsidP="00E43A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PIRES, Roberto Rocha C.; LOTTA, Gabriela. Burocracia de nível de rua e (re</w:t>
      </w:r>
      <w:proofErr w:type="gramStart"/>
      <w:r>
        <w:rPr>
          <w:rFonts w:ascii="Times New Roman" w:hAnsi="Times New Roman" w:cs="Times New Roman"/>
          <w:sz w:val="24"/>
          <w:szCs w:val="24"/>
        </w:rPr>
        <w:t>)produção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desigualdades sociais: comparando perspectivas de análise. (p.127-153). In: PIRES, Roberto Rocha C. (Org.) </w:t>
      </w:r>
      <w:r w:rsidRPr="00E43A78">
        <w:rPr>
          <w:rFonts w:ascii="Times New Roman" w:hAnsi="Times New Roman" w:cs="Times New Roman"/>
          <w:sz w:val="24"/>
          <w:szCs w:val="24"/>
        </w:rPr>
        <w:t xml:space="preserve">Implementando </w:t>
      </w:r>
      <w:proofErr w:type="gramStart"/>
      <w:r w:rsidRPr="00E43A78">
        <w:rPr>
          <w:rFonts w:ascii="Times New Roman" w:hAnsi="Times New Roman" w:cs="Times New Roman"/>
          <w:sz w:val="24"/>
          <w:szCs w:val="24"/>
        </w:rPr>
        <w:t>desigualdades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reprodução de desigualdades na </w:t>
      </w:r>
      <w:r w:rsidRPr="00E43A78">
        <w:rPr>
          <w:rFonts w:ascii="Times New Roman" w:hAnsi="Times New Roman" w:cs="Times New Roman"/>
          <w:sz w:val="24"/>
          <w:szCs w:val="24"/>
        </w:rPr>
        <w:t>implementação de políticas públicas</w:t>
      </w:r>
      <w:r>
        <w:rPr>
          <w:rFonts w:ascii="Times New Roman" w:hAnsi="Times New Roman" w:cs="Times New Roman"/>
          <w:sz w:val="24"/>
          <w:szCs w:val="24"/>
        </w:rPr>
        <w:t>. Rio de Janeiro: IPEA, 2019.</w:t>
      </w:r>
    </w:p>
    <w:p w:rsidR="00E43A78" w:rsidRPr="00E43A78" w:rsidRDefault="00E43A78" w:rsidP="00E43A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A17" w:rsidRPr="0096231F" w:rsidRDefault="00F02A17" w:rsidP="00F02A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1F">
        <w:rPr>
          <w:rFonts w:ascii="Times New Roman" w:hAnsi="Times New Roman" w:cs="Times New Roman"/>
          <w:sz w:val="24"/>
          <w:szCs w:val="24"/>
        </w:rPr>
        <w:t xml:space="preserve">PORTES, </w:t>
      </w:r>
      <w:proofErr w:type="spellStart"/>
      <w:r w:rsidRPr="0096231F">
        <w:rPr>
          <w:rFonts w:ascii="Times New Roman" w:hAnsi="Times New Roman" w:cs="Times New Roman"/>
          <w:sz w:val="24"/>
          <w:szCs w:val="24"/>
        </w:rPr>
        <w:t>Écio</w:t>
      </w:r>
      <w:proofErr w:type="spellEnd"/>
      <w:r w:rsidRPr="0096231F">
        <w:rPr>
          <w:rFonts w:ascii="Times New Roman" w:hAnsi="Times New Roman" w:cs="Times New Roman"/>
          <w:sz w:val="24"/>
          <w:szCs w:val="24"/>
        </w:rPr>
        <w:t>. Trajetórias escolares e vida acadêmica do estudante pobre da UFMG - Um estudo a partir de cinco casos. 267f. Tese (Doutorado) - Universidade Federal de Minas Gerais (UFMG), Belo Horizonte, 2001.</w:t>
      </w:r>
    </w:p>
    <w:p w:rsidR="00F02A17" w:rsidRPr="0096231F" w:rsidRDefault="00F02A17" w:rsidP="00F02A17">
      <w:pPr>
        <w:shd w:val="clear" w:color="auto" w:fill="FFFFFF"/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231F">
        <w:rPr>
          <w:rFonts w:ascii="Times New Roman" w:eastAsia="Times New Roman" w:hAnsi="Times New Roman" w:cs="Times New Roman"/>
          <w:sz w:val="24"/>
          <w:szCs w:val="24"/>
        </w:rPr>
        <w:t xml:space="preserve">RIBEIRO, Carlos Antonio Costa; SCHLEGEL, R. Estratificação horizontal da educação superior no Brasil (1960 a 2010). Trajetórias das desigualdades: como o Brasil mudou nos últimos cinquenta anos. </w:t>
      </w:r>
      <w:r w:rsidRPr="009623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40ed. São Paulo: </w:t>
      </w:r>
      <w:proofErr w:type="spellStart"/>
      <w:r w:rsidRPr="0096231F">
        <w:rPr>
          <w:rFonts w:ascii="Times New Roman" w:eastAsia="Times New Roman" w:hAnsi="Times New Roman" w:cs="Times New Roman"/>
          <w:sz w:val="24"/>
          <w:szCs w:val="24"/>
          <w:lang w:val="en-GB"/>
        </w:rPr>
        <w:t>Editora</w:t>
      </w:r>
      <w:proofErr w:type="spellEnd"/>
      <w:r w:rsidRPr="009623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31F">
        <w:rPr>
          <w:rFonts w:ascii="Times New Roman" w:eastAsia="Times New Roman" w:hAnsi="Times New Roman" w:cs="Times New Roman"/>
          <w:sz w:val="24"/>
          <w:szCs w:val="24"/>
          <w:lang w:val="en-GB"/>
        </w:rPr>
        <w:t>Unesp</w:t>
      </w:r>
      <w:proofErr w:type="spellEnd"/>
      <w:r w:rsidRPr="009623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2015. </w:t>
      </w:r>
    </w:p>
    <w:p w:rsidR="00F02A17" w:rsidRDefault="00F02A17" w:rsidP="00F02A17">
      <w:pPr>
        <w:shd w:val="clear" w:color="auto" w:fill="FFFFFF"/>
        <w:spacing w:after="30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623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ROLAND, Nathalie; FRENAY, </w:t>
      </w:r>
      <w:proofErr w:type="spellStart"/>
      <w:r w:rsidRPr="0096231F">
        <w:rPr>
          <w:rFonts w:ascii="Times New Roman" w:eastAsia="Times New Roman" w:hAnsi="Times New Roman" w:cs="Times New Roman"/>
          <w:sz w:val="24"/>
          <w:szCs w:val="24"/>
          <w:lang w:val="en-GB"/>
        </w:rPr>
        <w:t>Mariane</w:t>
      </w:r>
      <w:proofErr w:type="spellEnd"/>
      <w:r w:rsidRPr="009623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BOUDRENGHIEN, </w:t>
      </w:r>
      <w:proofErr w:type="spellStart"/>
      <w:r w:rsidRPr="0096231F">
        <w:rPr>
          <w:rFonts w:ascii="Times New Roman" w:eastAsia="Times New Roman" w:hAnsi="Times New Roman" w:cs="Times New Roman"/>
          <w:sz w:val="24"/>
          <w:szCs w:val="24"/>
          <w:lang w:val="en-GB"/>
        </w:rPr>
        <w:t>Gentiane</w:t>
      </w:r>
      <w:proofErr w:type="spellEnd"/>
      <w:r w:rsidRPr="0096231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9623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6231F">
        <w:rPr>
          <w:rFonts w:ascii="Times New Roman" w:hAnsi="Times New Roman" w:cs="Times New Roman"/>
          <w:sz w:val="24"/>
          <w:szCs w:val="24"/>
          <w:lang w:val="en-GB"/>
        </w:rPr>
        <w:t xml:space="preserve">Understanding academic persistence through the Theory of Planned </w:t>
      </w:r>
      <w:proofErr w:type="spellStart"/>
      <w:r w:rsidRPr="0096231F">
        <w:rPr>
          <w:rFonts w:ascii="Times New Roman" w:hAnsi="Times New Roman" w:cs="Times New Roman"/>
          <w:sz w:val="24"/>
          <w:szCs w:val="24"/>
          <w:lang w:val="en-GB"/>
        </w:rPr>
        <w:t>Behavior</w:t>
      </w:r>
      <w:proofErr w:type="spellEnd"/>
      <w:r w:rsidRPr="0096231F">
        <w:rPr>
          <w:rFonts w:ascii="Times New Roman" w:hAnsi="Times New Roman" w:cs="Times New Roman"/>
          <w:sz w:val="24"/>
          <w:szCs w:val="24"/>
          <w:lang w:val="en-GB"/>
        </w:rPr>
        <w:t>: normative factors under investigation. Journal of College Student Retention: Research, Theory &amp; Practice, 0(0), p. 1-21, 2016.</w:t>
      </w:r>
    </w:p>
    <w:p w:rsidR="00E43A78" w:rsidRPr="00E43A78" w:rsidRDefault="00E43A78" w:rsidP="00E43A78">
      <w:pPr>
        <w:pStyle w:val="Default"/>
        <w:spacing w:line="360" w:lineRule="auto"/>
        <w:jc w:val="both"/>
        <w:rPr>
          <w:iCs/>
          <w:color w:val="auto"/>
        </w:rPr>
      </w:pPr>
      <w:r w:rsidRPr="00AF2FD6">
        <w:rPr>
          <w:iCs/>
          <w:color w:val="auto"/>
          <w:lang w:val="en-US"/>
        </w:rPr>
        <w:t xml:space="preserve">TEIXEIRA, </w:t>
      </w:r>
      <w:proofErr w:type="spellStart"/>
      <w:r w:rsidRPr="00AF2FD6">
        <w:rPr>
          <w:iCs/>
          <w:color w:val="auto"/>
          <w:lang w:val="en-US"/>
        </w:rPr>
        <w:t>Anísio</w:t>
      </w:r>
      <w:proofErr w:type="spellEnd"/>
      <w:r w:rsidRPr="00AF2FD6">
        <w:rPr>
          <w:iCs/>
          <w:color w:val="auto"/>
          <w:lang w:val="en-US"/>
        </w:rPr>
        <w:t xml:space="preserve"> </w:t>
      </w:r>
      <w:proofErr w:type="spellStart"/>
      <w:r w:rsidRPr="00AF2FD6">
        <w:rPr>
          <w:iCs/>
          <w:color w:val="auto"/>
          <w:lang w:val="en-US"/>
        </w:rPr>
        <w:t>Spínola</w:t>
      </w:r>
      <w:proofErr w:type="spellEnd"/>
      <w:r w:rsidRPr="00AF2FD6">
        <w:rPr>
          <w:iCs/>
          <w:color w:val="auto"/>
          <w:lang w:val="en-US"/>
        </w:rPr>
        <w:t xml:space="preserve">. </w:t>
      </w:r>
      <w:r w:rsidRPr="00E43A78">
        <w:rPr>
          <w:iCs/>
          <w:color w:val="auto"/>
        </w:rPr>
        <w:t>Educação e universidade. 2ª ed. Rio de Janeiro: Editora UFRJ, 2010.</w:t>
      </w:r>
    </w:p>
    <w:p w:rsidR="00F02A17" w:rsidRPr="00E43A78" w:rsidRDefault="00F02A17" w:rsidP="00F02A17">
      <w:pPr>
        <w:pStyle w:val="Default"/>
        <w:spacing w:line="360" w:lineRule="auto"/>
        <w:jc w:val="both"/>
        <w:rPr>
          <w:iCs/>
          <w:color w:val="auto"/>
        </w:rPr>
      </w:pPr>
    </w:p>
    <w:p w:rsidR="00F02A17" w:rsidRPr="0096231F" w:rsidRDefault="00F02A17" w:rsidP="00F02A17">
      <w:pPr>
        <w:pStyle w:val="Default"/>
        <w:spacing w:line="360" w:lineRule="auto"/>
        <w:jc w:val="both"/>
        <w:rPr>
          <w:color w:val="auto"/>
        </w:rPr>
      </w:pPr>
      <w:r w:rsidRPr="00AC69EC">
        <w:rPr>
          <w:iCs/>
          <w:color w:val="auto"/>
        </w:rPr>
        <w:t xml:space="preserve">WEBER, Max.  </w:t>
      </w:r>
      <w:r w:rsidRPr="0096231F">
        <w:rPr>
          <w:iCs/>
          <w:color w:val="auto"/>
        </w:rPr>
        <w:t xml:space="preserve">Ensaios de Sociologia. Rio de Janeiro: </w:t>
      </w:r>
      <w:proofErr w:type="spellStart"/>
      <w:r w:rsidRPr="0096231F">
        <w:rPr>
          <w:iCs/>
          <w:color w:val="auto"/>
        </w:rPr>
        <w:t>Zahar</w:t>
      </w:r>
      <w:proofErr w:type="spellEnd"/>
      <w:r w:rsidRPr="0096231F">
        <w:rPr>
          <w:iCs/>
          <w:color w:val="auto"/>
        </w:rPr>
        <w:t xml:space="preserve"> Editores, 1971. </w:t>
      </w:r>
    </w:p>
    <w:p w:rsidR="00AF2FD6" w:rsidRDefault="00AF2FD6" w:rsidP="00AF2FD6">
      <w:pPr>
        <w:pStyle w:val="Default"/>
        <w:spacing w:line="360" w:lineRule="auto"/>
        <w:jc w:val="both"/>
        <w:rPr>
          <w:color w:val="auto"/>
        </w:rPr>
      </w:pPr>
    </w:p>
    <w:p w:rsidR="00AF2FD6" w:rsidRPr="001A504A" w:rsidRDefault="00AF2FD6" w:rsidP="00AF2FD6">
      <w:pPr>
        <w:pStyle w:val="Default"/>
        <w:spacing w:line="360" w:lineRule="auto"/>
        <w:jc w:val="both"/>
        <w:rPr>
          <w:rFonts w:eastAsia="Times New Roman"/>
          <w:color w:val="auto"/>
        </w:rPr>
      </w:pPr>
      <w:r w:rsidRPr="00050830">
        <w:rPr>
          <w:color w:val="auto"/>
        </w:rPr>
        <w:lastRenderedPageBreak/>
        <w:t>ZAGO, Nadir. Do acesso à permanência no ensino superior: percursos de estudantes universitários de camadas populares. Revista Brasileira de Educação, v.11, n.32. Maio/</w:t>
      </w:r>
      <w:r w:rsidR="00ED464B">
        <w:rPr>
          <w:color w:val="auto"/>
        </w:rPr>
        <w:t>A</w:t>
      </w:r>
      <w:r w:rsidRPr="00050830">
        <w:rPr>
          <w:color w:val="auto"/>
        </w:rPr>
        <w:t>go 2006.</w:t>
      </w:r>
    </w:p>
    <w:p w:rsidR="00F02A17" w:rsidRPr="0096231F" w:rsidRDefault="00F02A17" w:rsidP="00F02A1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3759" w:rsidRPr="00B53759" w:rsidRDefault="00B53759" w:rsidP="00B537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759" w:rsidRPr="00B53759" w:rsidRDefault="00B53759" w:rsidP="00B53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3759" w:rsidRPr="00B53759" w:rsidSect="004E3956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84" w:rsidRDefault="00BB5384" w:rsidP="00AE0CB1">
      <w:pPr>
        <w:spacing w:after="0" w:line="240" w:lineRule="auto"/>
      </w:pPr>
      <w:r>
        <w:separator/>
      </w:r>
    </w:p>
  </w:endnote>
  <w:endnote w:type="continuationSeparator" w:id="0">
    <w:p w:rsidR="00BB5384" w:rsidRDefault="00BB5384" w:rsidP="00AE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992660"/>
      <w:docPartObj>
        <w:docPartGallery w:val="Page Numbers (Bottom of Page)"/>
        <w:docPartUnique/>
      </w:docPartObj>
    </w:sdtPr>
    <w:sdtContent>
      <w:p w:rsidR="00753CFE" w:rsidRDefault="004E3956">
        <w:pPr>
          <w:pStyle w:val="Rodap"/>
          <w:jc w:val="right"/>
        </w:pPr>
        <w:r>
          <w:fldChar w:fldCharType="begin"/>
        </w:r>
        <w:r w:rsidR="00753CFE">
          <w:instrText>PAGE   \* MERGEFORMAT</w:instrText>
        </w:r>
        <w:r>
          <w:fldChar w:fldCharType="separate"/>
        </w:r>
        <w:r w:rsidR="00D7662D">
          <w:rPr>
            <w:noProof/>
          </w:rPr>
          <w:t>1</w:t>
        </w:r>
        <w:r>
          <w:fldChar w:fldCharType="end"/>
        </w:r>
      </w:p>
    </w:sdtContent>
  </w:sdt>
  <w:p w:rsidR="00753CFE" w:rsidRDefault="00753C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84" w:rsidRDefault="00BB5384" w:rsidP="00AE0CB1">
      <w:pPr>
        <w:spacing w:after="0" w:line="240" w:lineRule="auto"/>
      </w:pPr>
      <w:r>
        <w:separator/>
      </w:r>
    </w:p>
  </w:footnote>
  <w:footnote w:type="continuationSeparator" w:id="0">
    <w:p w:rsidR="00BB5384" w:rsidRDefault="00BB5384" w:rsidP="00AE0CB1">
      <w:pPr>
        <w:spacing w:after="0" w:line="240" w:lineRule="auto"/>
      </w:pPr>
      <w:r>
        <w:continuationSeparator/>
      </w:r>
    </w:p>
  </w:footnote>
  <w:footnote w:id="1">
    <w:p w:rsidR="00AE0CB1" w:rsidRPr="00BF7CFA" w:rsidRDefault="00AE0CB1" w:rsidP="00E74FE0">
      <w:pPr>
        <w:pStyle w:val="Textodenotaderodap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 w:rsidRPr="00BF7CFA">
        <w:rPr>
          <w:rFonts w:ascii="Times New Roman" w:hAnsi="Times New Roman" w:cs="Times New Roman"/>
        </w:rPr>
        <w:t xml:space="preserve"> Doutorando em Ciências Humanas (Sociologia) pelo Programa de Pós-Graduação em Sociologia e Antropologia (PPGSA/UFRJ). Bolsista da Coordenação de Aperfeiçoamento de Pessoal de Nível Superior (CAPES)</w:t>
      </w:r>
      <w:r>
        <w:rPr>
          <w:rFonts w:ascii="Times New Roman" w:hAnsi="Times New Roman" w:cs="Times New Roman"/>
        </w:rPr>
        <w:t xml:space="preserve">. </w:t>
      </w:r>
      <w:r w:rsidR="00E74FE0">
        <w:rPr>
          <w:rFonts w:ascii="Times New Roman" w:hAnsi="Times New Roman" w:cs="Times New Roman"/>
        </w:rPr>
        <w:t>Pesquisador</w:t>
      </w:r>
      <w:r>
        <w:rPr>
          <w:rFonts w:ascii="Times New Roman" w:hAnsi="Times New Roman" w:cs="Times New Roman"/>
        </w:rPr>
        <w:t xml:space="preserve"> do Laboratório de Pesquisa em Ensino Superior (LAPES/PPGSA/UFRJ) e do Laboratório de Estudos e Pesquisas em Educação Superior (LEPES/FE/UFRJ). </w:t>
      </w:r>
    </w:p>
  </w:footnote>
  <w:footnote w:id="2">
    <w:p w:rsidR="00955370" w:rsidRDefault="00955370" w:rsidP="0095537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55370">
        <w:rPr>
          <w:rFonts w:ascii="Times New Roman" w:hAnsi="Times New Roman" w:cs="Times New Roman"/>
        </w:rPr>
        <w:t>Diretores, coordenadores de curso, chefes de departamento, professores e técnicos em assuntos educacionais, dentre outros membros da burocracia que atuam junto aos estudantes.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3">
    <w:p w:rsidR="00666003" w:rsidRPr="00666003" w:rsidRDefault="00666003">
      <w:pPr>
        <w:pStyle w:val="Textodenotaderodap"/>
        <w:rPr>
          <w:rFonts w:ascii="Times New Roman" w:hAnsi="Times New Roman" w:cs="Times New Roman"/>
        </w:rPr>
      </w:pPr>
      <w:r w:rsidRPr="00666003">
        <w:rPr>
          <w:rStyle w:val="Refdenotaderodap"/>
          <w:rFonts w:ascii="Times New Roman" w:hAnsi="Times New Roman" w:cs="Times New Roman"/>
        </w:rPr>
        <w:footnoteRef/>
      </w:r>
      <w:r w:rsidRPr="00666003">
        <w:rPr>
          <w:rFonts w:ascii="Times New Roman" w:hAnsi="Times New Roman" w:cs="Times New Roman"/>
        </w:rPr>
        <w:t xml:space="preserve"> </w:t>
      </w:r>
      <w:hyperlink r:id="rId1" w:history="1">
        <w:r w:rsidRPr="00666003">
          <w:rPr>
            <w:rStyle w:val="Hyperlink"/>
            <w:rFonts w:ascii="Times New Roman" w:hAnsi="Times New Roman" w:cs="Times New Roman"/>
          </w:rPr>
          <w:t>http://www2.datauerj.uerj.br/</w:t>
        </w:r>
      </w:hyperlink>
      <w:r w:rsidRPr="00666003">
        <w:rPr>
          <w:rFonts w:ascii="Times New Roman" w:hAnsi="Times New Roman" w:cs="Times New Roman"/>
        </w:rPr>
        <w:t xml:space="preserve"> Acesso em 02/09/2019. </w:t>
      </w:r>
    </w:p>
  </w:footnote>
  <w:footnote w:id="4">
    <w:p w:rsidR="0031007F" w:rsidRPr="0031007F" w:rsidRDefault="0031007F">
      <w:pPr>
        <w:pStyle w:val="Textodenotaderodap"/>
        <w:rPr>
          <w:rFonts w:ascii="Times New Roman" w:hAnsi="Times New Roman" w:cs="Times New Roman"/>
        </w:rPr>
      </w:pPr>
      <w:r w:rsidRPr="0031007F">
        <w:rPr>
          <w:rStyle w:val="Refdenotaderodap"/>
          <w:rFonts w:ascii="Times New Roman" w:hAnsi="Times New Roman" w:cs="Times New Roman"/>
        </w:rPr>
        <w:footnoteRef/>
      </w:r>
      <w:r w:rsidRPr="0031007F">
        <w:rPr>
          <w:rFonts w:ascii="Times New Roman" w:hAnsi="Times New Roman" w:cs="Times New Roman"/>
        </w:rPr>
        <w:t xml:space="preserve"> No momento do levantamento e confecção dos dados. </w:t>
      </w:r>
    </w:p>
  </w:footnote>
  <w:footnote w:id="5">
    <w:p w:rsidR="00E11FF2" w:rsidRPr="00E11FF2" w:rsidRDefault="00E11FF2" w:rsidP="00E11FF2">
      <w:pPr>
        <w:pStyle w:val="Textodenotaderodap"/>
        <w:rPr>
          <w:rFonts w:ascii="Times New Roman" w:hAnsi="Times New Roman" w:cs="Times New Roman"/>
        </w:rPr>
      </w:pPr>
      <w:r w:rsidRPr="00E11FF2">
        <w:rPr>
          <w:rStyle w:val="Refdenotaderodap"/>
          <w:rFonts w:ascii="Times New Roman" w:hAnsi="Times New Roman" w:cs="Times New Roman"/>
        </w:rPr>
        <w:footnoteRef/>
      </w:r>
      <w:r w:rsidRPr="00E11FF2">
        <w:rPr>
          <w:rFonts w:ascii="Times New Roman" w:hAnsi="Times New Roman" w:cs="Times New Roman"/>
        </w:rPr>
        <w:t xml:space="preserve"> Pouco mais de 2% da amostra. </w:t>
      </w:r>
    </w:p>
  </w:footnote>
  <w:footnote w:id="6">
    <w:p w:rsidR="004724F6" w:rsidRDefault="004724F6">
      <w:pPr>
        <w:pStyle w:val="Textodenotaderodap"/>
      </w:pPr>
      <w:r>
        <w:rPr>
          <w:rStyle w:val="Refdenotaderodap"/>
        </w:rPr>
        <w:footnoteRef/>
      </w:r>
      <w:r>
        <w:t xml:space="preserve"> A portaria normativa que deu origem ao PNAES foi promulgada oito meses após o Decreto 6.096/07 de Abril de 2007 que deu origem ao REUNI. A portaria enfatiza pontos sobre assistência estudantil que já eram previstas nos planos de expansão do ensino superior federal do REUNI. </w:t>
      </w:r>
    </w:p>
  </w:footnote>
  <w:footnote w:id="7">
    <w:p w:rsidR="00F02A17" w:rsidRPr="00F02A17" w:rsidRDefault="00F02A17" w:rsidP="00FD0DB3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hyperlink r:id="rId2" w:history="1">
        <w:r w:rsidRPr="00F02A17">
          <w:rPr>
            <w:rStyle w:val="Hyperlink"/>
            <w:rFonts w:ascii="Times New Roman" w:hAnsi="Times New Roman" w:cs="Times New Roman"/>
          </w:rPr>
          <w:t>https://xn--graduao-2wa9a.ufrj.br/index.php/cursos-de-graduao-mainmenu-124/551-novas-categorias/pro-reitoria-institucional/1479-boas-praticas-de-orientacao-academica</w:t>
        </w:r>
      </w:hyperlink>
      <w:r w:rsidRPr="00F02A17">
        <w:rPr>
          <w:rFonts w:ascii="Times New Roman" w:hAnsi="Times New Roman" w:cs="Times New Roman"/>
        </w:rPr>
        <w:t xml:space="preserve">.   </w:t>
      </w:r>
    </w:p>
    <w:p w:rsidR="00F02A17" w:rsidRPr="00F02A17" w:rsidRDefault="00F02A17" w:rsidP="00FD0DB3">
      <w:pPr>
        <w:pStyle w:val="Textodenotaderodap"/>
        <w:jc w:val="both"/>
        <w:rPr>
          <w:rFonts w:ascii="Times New Roman" w:hAnsi="Times New Roman" w:cs="Times New Roman"/>
        </w:rPr>
      </w:pPr>
      <w:r w:rsidRPr="00F02A17">
        <w:rPr>
          <w:rFonts w:ascii="Times New Roman" w:hAnsi="Times New Roman" w:cs="Times New Roman"/>
        </w:rPr>
        <w:t>Acesso em 27/04/2019.</w:t>
      </w:r>
    </w:p>
  </w:footnote>
  <w:footnote w:id="8">
    <w:p w:rsidR="00904692" w:rsidRPr="00904692" w:rsidRDefault="00904692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904692">
          <w:rPr>
            <w:rStyle w:val="Hyperlink"/>
            <w:rFonts w:ascii="Times New Roman" w:hAnsi="Times New Roman" w:cs="Times New Roman"/>
          </w:rPr>
          <w:t>http://www.cfch.ufrj.br/index.php/27-noticias/891-fe-ufrj-realiza-semana-de-integracao</w:t>
        </w:r>
      </w:hyperlink>
      <w:r w:rsidRPr="00904692">
        <w:rPr>
          <w:rFonts w:ascii="Times New Roman" w:hAnsi="Times New Roman" w:cs="Times New Roman"/>
        </w:rPr>
        <w:t xml:space="preserve">. Acesso em 12/09/2019. </w:t>
      </w:r>
    </w:p>
  </w:footnote>
  <w:footnote w:id="9">
    <w:p w:rsidR="00E41531" w:rsidRDefault="00E4153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4" w:history="1">
        <w:r w:rsidRPr="00E41531">
          <w:rPr>
            <w:rStyle w:val="Hyperlink"/>
            <w:rFonts w:ascii="Times New Roman" w:hAnsi="Times New Roman" w:cs="Times New Roman"/>
          </w:rPr>
          <w:t>https://xn--graduao-2wa9a.ufrj.br/index.php/projetos-e-iniciativas-da-pr1/boas-praticas-de-orientacao-academica</w:t>
        </w:r>
      </w:hyperlink>
      <w:r w:rsidRPr="00E41531">
        <w:rPr>
          <w:rFonts w:ascii="Times New Roman" w:hAnsi="Times New Roman" w:cs="Times New Roman"/>
        </w:rPr>
        <w:t xml:space="preserve"> Acesso em 12/09/2019.</w:t>
      </w:r>
      <w:r>
        <w:t xml:space="preserve"> </w:t>
      </w:r>
    </w:p>
  </w:footnote>
  <w:footnote w:id="10">
    <w:p w:rsidR="004F0A9E" w:rsidRPr="004F0A9E" w:rsidRDefault="004F0A9E" w:rsidP="004F0A9E">
      <w:pPr>
        <w:pStyle w:val="Textodenotaderodap"/>
        <w:jc w:val="both"/>
        <w:rPr>
          <w:rFonts w:ascii="Times New Roman" w:hAnsi="Times New Roman" w:cs="Times New Roman"/>
        </w:rPr>
      </w:pPr>
      <w:r w:rsidRPr="004F0A9E">
        <w:rPr>
          <w:rStyle w:val="Refdenotaderodap"/>
          <w:rFonts w:ascii="Times New Roman" w:hAnsi="Times New Roman" w:cs="Times New Roman"/>
        </w:rPr>
        <w:footnoteRef/>
      </w:r>
      <w:r w:rsidRPr="004F0A9E">
        <w:rPr>
          <w:rFonts w:ascii="Times New Roman" w:hAnsi="Times New Roman" w:cs="Times New Roman"/>
        </w:rPr>
        <w:t xml:space="preserve"> O trabalho não desconsidera as dinâmicas do mercado de trabalho nem a crise econômica que por vezes dificulta o ingresso dos formados no mercado de trabalho (pelo menos no mercado formal).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AFF"/>
    <w:multiLevelType w:val="multilevel"/>
    <w:tmpl w:val="936C39F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45E22C27"/>
    <w:multiLevelType w:val="multilevel"/>
    <w:tmpl w:val="34D064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2">
    <w:nsid w:val="63642DD5"/>
    <w:multiLevelType w:val="hybridMultilevel"/>
    <w:tmpl w:val="0CA6A92E"/>
    <w:lvl w:ilvl="0" w:tplc="4CE662F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5" w:hanging="360"/>
      </w:pPr>
    </w:lvl>
    <w:lvl w:ilvl="2" w:tplc="0416001B" w:tentative="1">
      <w:start w:val="1"/>
      <w:numFmt w:val="lowerRoman"/>
      <w:lvlText w:val="%3."/>
      <w:lvlJc w:val="right"/>
      <w:pPr>
        <w:ind w:left="9455" w:hanging="180"/>
      </w:pPr>
    </w:lvl>
    <w:lvl w:ilvl="3" w:tplc="0416000F" w:tentative="1">
      <w:start w:val="1"/>
      <w:numFmt w:val="decimal"/>
      <w:lvlText w:val="%4."/>
      <w:lvlJc w:val="left"/>
      <w:pPr>
        <w:ind w:left="10175" w:hanging="360"/>
      </w:pPr>
    </w:lvl>
    <w:lvl w:ilvl="4" w:tplc="04160019" w:tentative="1">
      <w:start w:val="1"/>
      <w:numFmt w:val="lowerLetter"/>
      <w:lvlText w:val="%5."/>
      <w:lvlJc w:val="left"/>
      <w:pPr>
        <w:ind w:left="10895" w:hanging="360"/>
      </w:pPr>
    </w:lvl>
    <w:lvl w:ilvl="5" w:tplc="0416001B" w:tentative="1">
      <w:start w:val="1"/>
      <w:numFmt w:val="lowerRoman"/>
      <w:lvlText w:val="%6."/>
      <w:lvlJc w:val="right"/>
      <w:pPr>
        <w:ind w:left="11615" w:hanging="180"/>
      </w:pPr>
    </w:lvl>
    <w:lvl w:ilvl="6" w:tplc="0416000F" w:tentative="1">
      <w:start w:val="1"/>
      <w:numFmt w:val="decimal"/>
      <w:lvlText w:val="%7."/>
      <w:lvlJc w:val="left"/>
      <w:pPr>
        <w:ind w:left="12335" w:hanging="360"/>
      </w:pPr>
    </w:lvl>
    <w:lvl w:ilvl="7" w:tplc="04160019" w:tentative="1">
      <w:start w:val="1"/>
      <w:numFmt w:val="lowerLetter"/>
      <w:lvlText w:val="%8."/>
      <w:lvlJc w:val="left"/>
      <w:pPr>
        <w:ind w:left="13055" w:hanging="360"/>
      </w:pPr>
    </w:lvl>
    <w:lvl w:ilvl="8" w:tplc="0416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B36"/>
    <w:rsid w:val="000415E9"/>
    <w:rsid w:val="00046462"/>
    <w:rsid w:val="00057B7F"/>
    <w:rsid w:val="000733AD"/>
    <w:rsid w:val="00083BB7"/>
    <w:rsid w:val="000A024B"/>
    <w:rsid w:val="000A762C"/>
    <w:rsid w:val="000E2F74"/>
    <w:rsid w:val="0010190F"/>
    <w:rsid w:val="001A3277"/>
    <w:rsid w:val="001C7371"/>
    <w:rsid w:val="001E3286"/>
    <w:rsid w:val="00204342"/>
    <w:rsid w:val="00206578"/>
    <w:rsid w:val="002676B6"/>
    <w:rsid w:val="002E13AA"/>
    <w:rsid w:val="002F2AD3"/>
    <w:rsid w:val="002F42C0"/>
    <w:rsid w:val="00307720"/>
    <w:rsid w:val="0031007F"/>
    <w:rsid w:val="00323507"/>
    <w:rsid w:val="00392565"/>
    <w:rsid w:val="00397A10"/>
    <w:rsid w:val="003B63A4"/>
    <w:rsid w:val="00406F55"/>
    <w:rsid w:val="00423BFE"/>
    <w:rsid w:val="00433643"/>
    <w:rsid w:val="0045434D"/>
    <w:rsid w:val="004724F6"/>
    <w:rsid w:val="004B7D3B"/>
    <w:rsid w:val="004E3956"/>
    <w:rsid w:val="004F0A9E"/>
    <w:rsid w:val="00502ED3"/>
    <w:rsid w:val="00503B36"/>
    <w:rsid w:val="005415D8"/>
    <w:rsid w:val="00541A53"/>
    <w:rsid w:val="0058114D"/>
    <w:rsid w:val="005C3A09"/>
    <w:rsid w:val="00606A4D"/>
    <w:rsid w:val="00645672"/>
    <w:rsid w:val="00654853"/>
    <w:rsid w:val="00666003"/>
    <w:rsid w:val="0069752C"/>
    <w:rsid w:val="006F17AC"/>
    <w:rsid w:val="006F746E"/>
    <w:rsid w:val="00713DE7"/>
    <w:rsid w:val="007409AD"/>
    <w:rsid w:val="00753CFE"/>
    <w:rsid w:val="007A7650"/>
    <w:rsid w:val="007B08DE"/>
    <w:rsid w:val="007B71F3"/>
    <w:rsid w:val="008107FC"/>
    <w:rsid w:val="00833C68"/>
    <w:rsid w:val="00843340"/>
    <w:rsid w:val="008972FF"/>
    <w:rsid w:val="008A729D"/>
    <w:rsid w:val="008F6333"/>
    <w:rsid w:val="00902FF7"/>
    <w:rsid w:val="00904692"/>
    <w:rsid w:val="00951E38"/>
    <w:rsid w:val="00955370"/>
    <w:rsid w:val="009662AD"/>
    <w:rsid w:val="009712DD"/>
    <w:rsid w:val="00974426"/>
    <w:rsid w:val="00977A1E"/>
    <w:rsid w:val="0098142E"/>
    <w:rsid w:val="009968BB"/>
    <w:rsid w:val="009A4F6F"/>
    <w:rsid w:val="009B34C1"/>
    <w:rsid w:val="009F34A2"/>
    <w:rsid w:val="00A2716E"/>
    <w:rsid w:val="00A31D1D"/>
    <w:rsid w:val="00A92A40"/>
    <w:rsid w:val="00AB1C7C"/>
    <w:rsid w:val="00AC69EC"/>
    <w:rsid w:val="00AE0CB1"/>
    <w:rsid w:val="00AF2FD6"/>
    <w:rsid w:val="00B53759"/>
    <w:rsid w:val="00B66FBC"/>
    <w:rsid w:val="00B847AB"/>
    <w:rsid w:val="00BB5384"/>
    <w:rsid w:val="00BB6D6B"/>
    <w:rsid w:val="00BC5E88"/>
    <w:rsid w:val="00C147DC"/>
    <w:rsid w:val="00C4087E"/>
    <w:rsid w:val="00C74336"/>
    <w:rsid w:val="00CB4BE5"/>
    <w:rsid w:val="00CD35D8"/>
    <w:rsid w:val="00D17AEC"/>
    <w:rsid w:val="00D42D7D"/>
    <w:rsid w:val="00D7662D"/>
    <w:rsid w:val="00D93BEE"/>
    <w:rsid w:val="00E11FF2"/>
    <w:rsid w:val="00E23029"/>
    <w:rsid w:val="00E41531"/>
    <w:rsid w:val="00E43A78"/>
    <w:rsid w:val="00E5087A"/>
    <w:rsid w:val="00E5553A"/>
    <w:rsid w:val="00E74FE0"/>
    <w:rsid w:val="00EB40BD"/>
    <w:rsid w:val="00ED0E28"/>
    <w:rsid w:val="00ED464B"/>
    <w:rsid w:val="00F02A17"/>
    <w:rsid w:val="00F46964"/>
    <w:rsid w:val="00F6397C"/>
    <w:rsid w:val="00F748A0"/>
    <w:rsid w:val="00F91CC3"/>
    <w:rsid w:val="00FD0DB3"/>
    <w:rsid w:val="00FF4106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0C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0C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E0CB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4087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87E"/>
  </w:style>
  <w:style w:type="paragraph" w:styleId="Rodap">
    <w:name w:val="footer"/>
    <w:basedOn w:val="Normal"/>
    <w:link w:val="RodapChar"/>
    <w:uiPriority w:val="99"/>
    <w:unhideWhenUsed/>
    <w:rsid w:val="00C4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87E"/>
  </w:style>
  <w:style w:type="paragraph" w:styleId="PargrafodaLista">
    <w:name w:val="List Paragraph"/>
    <w:basedOn w:val="Normal"/>
    <w:uiPriority w:val="34"/>
    <w:qFormat/>
    <w:rsid w:val="006548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3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3029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2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menta">
    <w:name w:val="ementa"/>
    <w:basedOn w:val="Normal"/>
    <w:rsid w:val="0075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235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portal.mec.gov.br/arquivos/pdf/portaria_pnae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07-2010/2007/Decreto/D6096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4-2006/2004/lei/l10.86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camara.leg.br/legin/fed/lei/2016/lei-13409-28-dezembro-2016-784149-publicacaooriginal-151756-pl.html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planalto.gov.br/ccivil_03/_ato2011-2014/2012/lei/l12711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fch.ufrj.br/index.php/27-noticias/891-fe-ufrj-realiza-semana-de-integracao" TargetMode="External"/><Relationship Id="rId2" Type="http://schemas.openxmlformats.org/officeDocument/2006/relationships/hyperlink" Target="https://xn--graduao-2wa9a.ufrj.br/index.php/cursos-de-graduao-mainmenu-124/551-novas-categorias/pro-reitoria-institucional/1479-boas-praticas-de-orientacao-academica" TargetMode="External"/><Relationship Id="rId1" Type="http://schemas.openxmlformats.org/officeDocument/2006/relationships/hyperlink" Target="http://www2.datauerj.uerj.br/" TargetMode="External"/><Relationship Id="rId4" Type="http://schemas.openxmlformats.org/officeDocument/2006/relationships/hyperlink" Target="https://xn--graduao-2wa9a.ufrj.br/index.php/projetos-e-iniciativas-da-pr1/boas-praticas-de-orientacao-academic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2"/>
          <c:order val="2"/>
          <c:tx>
            <c:strRef>
              <c:f>Plan1!$D$1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</c:spPr>
          <c:dLbls>
            <c:dLbl>
              <c:idx val="0"/>
              <c:layout>
                <c:manualLayout>
                  <c:x val="1.1757789535567309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48-43A9-B705-8ACF4961DD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t-B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Plan1!$A$2:$A$11</c:f>
              <c:strCache>
                <c:ptCount val="10"/>
                <c:pt idx="0">
                  <c:v>2013.1</c:v>
                </c:pt>
                <c:pt idx="1">
                  <c:v>2013.2</c:v>
                </c:pt>
                <c:pt idx="2">
                  <c:v>2014.1</c:v>
                </c:pt>
                <c:pt idx="3">
                  <c:v>2014.2</c:v>
                </c:pt>
                <c:pt idx="4">
                  <c:v>2015.1</c:v>
                </c:pt>
                <c:pt idx="5">
                  <c:v>2015.2</c:v>
                </c:pt>
                <c:pt idx="6">
                  <c:v>2016.1</c:v>
                </c:pt>
                <c:pt idx="7">
                  <c:v>2016.2</c:v>
                </c:pt>
                <c:pt idx="8">
                  <c:v>2017.1</c:v>
                </c:pt>
                <c:pt idx="9">
                  <c:v>2017.2</c:v>
                </c:pt>
              </c:strCache>
            </c:strRef>
          </c:cat>
          <c:val>
            <c:numRef>
              <c:f>Plan1!$D$2:$D$11</c:f>
              <c:numCache>
                <c:formatCode>General</c:formatCode>
                <c:ptCount val="10"/>
                <c:pt idx="0">
                  <c:v>43875</c:v>
                </c:pt>
                <c:pt idx="1">
                  <c:v>43306</c:v>
                </c:pt>
                <c:pt idx="2">
                  <c:v>44645</c:v>
                </c:pt>
                <c:pt idx="3">
                  <c:v>44973</c:v>
                </c:pt>
                <c:pt idx="4">
                  <c:v>47327</c:v>
                </c:pt>
                <c:pt idx="5">
                  <c:v>47363</c:v>
                </c:pt>
                <c:pt idx="6">
                  <c:v>49260</c:v>
                </c:pt>
                <c:pt idx="7">
                  <c:v>48810</c:v>
                </c:pt>
                <c:pt idx="8">
                  <c:v>50448</c:v>
                </c:pt>
                <c:pt idx="9">
                  <c:v>48611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BE-499C-9CBD-5C1D4DCEB140}"/>
            </c:ext>
          </c:extLst>
        </c:ser>
        <c:ser>
          <c:idx val="0"/>
          <c:order val="0"/>
          <c:tx>
            <c:strRef>
              <c:f>Plan1!$B$1</c:f>
              <c:strCache>
                <c:ptCount val="1"/>
                <c:pt idx="0">
                  <c:v>Ativas</c:v>
                </c:pt>
              </c:strCache>
            </c:strRef>
          </c:tx>
          <c:dLbls>
            <c:dLbl>
              <c:idx val="0"/>
              <c:layout>
                <c:manualLayout>
                  <c:x val="1.4110088090840477E-2"/>
                  <c:y val="1.393728222996516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48-43A9-B705-8ACF4961DD57}"/>
                </c:ext>
              </c:extLst>
            </c:dLbl>
            <c:dLbl>
              <c:idx val="1"/>
              <c:layout>
                <c:manualLayout>
                  <c:x val="2.1164021164021166E-2"/>
                  <c:y val="1.858304297328687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48-43A9-B705-8ACF4961DD57}"/>
                </c:ext>
              </c:extLst>
            </c:dLbl>
            <c:dLbl>
              <c:idx val="2"/>
              <c:layout>
                <c:manualLayout>
                  <c:x val="1.6460905349794247E-2"/>
                  <c:y val="2.78741986519977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48-43A9-B705-8ACF4961DD57}"/>
                </c:ext>
              </c:extLst>
            </c:dLbl>
            <c:dLbl>
              <c:idx val="3"/>
              <c:layout>
                <c:manualLayout>
                  <c:x val="1.8812463256907701E-2"/>
                  <c:y val="1.393728222996516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48-43A9-B705-8ACF4961DD57}"/>
                </c:ext>
              </c:extLst>
            </c:dLbl>
            <c:dLbl>
              <c:idx val="4"/>
              <c:layout>
                <c:manualLayout>
                  <c:x val="2.3515579071134631E-2"/>
                  <c:y val="1.393728222996516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48-43A9-B705-8ACF4961DD57}"/>
                </c:ext>
              </c:extLst>
            </c:dLbl>
            <c:dLbl>
              <c:idx val="5"/>
              <c:layout>
                <c:manualLayout>
                  <c:x val="2.1164021164021166E-2"/>
                  <c:y val="1.393728222996516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48-43A9-B705-8ACF4961DD57}"/>
                </c:ext>
              </c:extLst>
            </c:dLbl>
            <c:dLbl>
              <c:idx val="6"/>
              <c:layout>
                <c:manualLayout>
                  <c:x val="1.881246325690770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48-43A9-B705-8ACF4961DD57}"/>
                </c:ext>
              </c:extLst>
            </c:dLbl>
            <c:dLbl>
              <c:idx val="7"/>
              <c:layout>
                <c:manualLayout>
                  <c:x val="1.881246325690770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D48-43A9-B705-8ACF4961DD57}"/>
                </c:ext>
              </c:extLst>
            </c:dLbl>
            <c:dLbl>
              <c:idx val="8"/>
              <c:layout>
                <c:manualLayout>
                  <c:x val="1.8812463256907701E-2"/>
                  <c:y val="4.645760743321720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48-43A9-B705-8ACF4961DD57}"/>
                </c:ext>
              </c:extLst>
            </c:dLbl>
            <c:dLbl>
              <c:idx val="9"/>
              <c:layout>
                <c:manualLayout>
                  <c:x val="1.646090534979433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48-43A9-B705-8ACF4961DD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pt-B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Plan1!$A$2:$A$11</c:f>
              <c:strCache>
                <c:ptCount val="10"/>
                <c:pt idx="0">
                  <c:v>2013.1</c:v>
                </c:pt>
                <c:pt idx="1">
                  <c:v>2013.2</c:v>
                </c:pt>
                <c:pt idx="2">
                  <c:v>2014.1</c:v>
                </c:pt>
                <c:pt idx="3">
                  <c:v>2014.2</c:v>
                </c:pt>
                <c:pt idx="4">
                  <c:v>2015.1</c:v>
                </c:pt>
                <c:pt idx="5">
                  <c:v>2015.2</c:v>
                </c:pt>
                <c:pt idx="6">
                  <c:v>2016.1</c:v>
                </c:pt>
                <c:pt idx="7">
                  <c:v>2016.2</c:v>
                </c:pt>
                <c:pt idx="8">
                  <c:v>2017.1</c:v>
                </c:pt>
                <c:pt idx="9">
                  <c:v>2017.2</c:v>
                </c:pt>
              </c:strCache>
            </c:strRef>
          </c:cat>
          <c:val>
            <c:numRef>
              <c:f>Plan1!$B$2:$B$11</c:f>
              <c:numCache>
                <c:formatCode>General</c:formatCode>
                <c:ptCount val="10"/>
                <c:pt idx="0">
                  <c:v>37830</c:v>
                </c:pt>
                <c:pt idx="1">
                  <c:v>39957</c:v>
                </c:pt>
                <c:pt idx="2">
                  <c:v>40774</c:v>
                </c:pt>
                <c:pt idx="3">
                  <c:v>40796</c:v>
                </c:pt>
                <c:pt idx="4">
                  <c:v>40507</c:v>
                </c:pt>
                <c:pt idx="5">
                  <c:v>39125</c:v>
                </c:pt>
                <c:pt idx="6">
                  <c:v>41855</c:v>
                </c:pt>
                <c:pt idx="7">
                  <c:v>38234</c:v>
                </c:pt>
                <c:pt idx="8">
                  <c:v>43289</c:v>
                </c:pt>
                <c:pt idx="9">
                  <c:v>42549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BE-499C-9CBD-5C1D4DCEB140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Trancadas</c:v>
                </c:pt>
              </c:strCache>
            </c:strRef>
          </c:tx>
          <c:dLbls>
            <c:dLbl>
              <c:idx val="0"/>
              <c:layout>
                <c:manualLayout>
                  <c:x val="9.4062316284538507E-3"/>
                  <c:y val="-8.5171296388147836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48-43A9-B705-8ACF4961DD57}"/>
                </c:ext>
              </c:extLst>
            </c:dLbl>
            <c:dLbl>
              <c:idx val="1"/>
              <c:layout>
                <c:manualLayout>
                  <c:x val="7.054673721340390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48-43A9-B705-8ACF4961DD57}"/>
                </c:ext>
              </c:extLst>
            </c:dLbl>
            <c:dLbl>
              <c:idx val="2"/>
              <c:layout>
                <c:manualLayout>
                  <c:x val="9.4062316284538507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48-43A9-B705-8ACF4961DD57}"/>
                </c:ext>
              </c:extLst>
            </c:dLbl>
            <c:dLbl>
              <c:idx val="3"/>
              <c:layout>
                <c:manualLayout>
                  <c:x val="7.0546737213403486E-3"/>
                  <c:y val="-8.5171296388147836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48-43A9-B705-8ACF4961DD57}"/>
                </c:ext>
              </c:extLst>
            </c:dLbl>
            <c:dLbl>
              <c:idx val="4"/>
              <c:layout>
                <c:manualLayout>
                  <c:x val="9.4062316284537675E-3"/>
                  <c:y val="-8.5171296388147836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D48-43A9-B705-8ACF4961DD57}"/>
                </c:ext>
              </c:extLst>
            </c:dLbl>
            <c:dLbl>
              <c:idx val="5"/>
              <c:layout>
                <c:manualLayout>
                  <c:x val="9.4062316284539409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48-43A9-B705-8ACF4961DD57}"/>
                </c:ext>
              </c:extLst>
            </c:dLbl>
            <c:dLbl>
              <c:idx val="6"/>
              <c:layout>
                <c:manualLayout>
                  <c:x val="1.4109347442680775E-2"/>
                  <c:y val="4.645760743321720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48-43A9-B705-8ACF4961DD57}"/>
                </c:ext>
              </c:extLst>
            </c:dLbl>
            <c:dLbl>
              <c:idx val="7"/>
              <c:layout>
                <c:manualLayout>
                  <c:x val="1.4109347442680775E-2"/>
                  <c:y val="-8.5171296388147836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48-43A9-B705-8ACF4961DD57}"/>
                </c:ext>
              </c:extLst>
            </c:dLbl>
            <c:dLbl>
              <c:idx val="8"/>
              <c:layout>
                <c:manualLayout>
                  <c:x val="1.1757789535567149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D48-43A9-B705-8ACF4961DD57}"/>
                </c:ext>
              </c:extLst>
            </c:dLbl>
            <c:dLbl>
              <c:idx val="9"/>
              <c:layout>
                <c:manualLayout>
                  <c:x val="1.1757789535567324E-2"/>
                  <c:y val="-1.7034259277629567E-1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D48-43A9-B705-8ACF4961DD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t-B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Plan1!$A$2:$A$11</c:f>
              <c:strCache>
                <c:ptCount val="10"/>
                <c:pt idx="0">
                  <c:v>2013.1</c:v>
                </c:pt>
                <c:pt idx="1">
                  <c:v>2013.2</c:v>
                </c:pt>
                <c:pt idx="2">
                  <c:v>2014.1</c:v>
                </c:pt>
                <c:pt idx="3">
                  <c:v>2014.2</c:v>
                </c:pt>
                <c:pt idx="4">
                  <c:v>2015.1</c:v>
                </c:pt>
                <c:pt idx="5">
                  <c:v>2015.2</c:v>
                </c:pt>
                <c:pt idx="6">
                  <c:v>2016.1</c:v>
                </c:pt>
                <c:pt idx="7">
                  <c:v>2016.2</c:v>
                </c:pt>
                <c:pt idx="8">
                  <c:v>2017.1</c:v>
                </c:pt>
                <c:pt idx="9">
                  <c:v>2017.2</c:v>
                </c:pt>
              </c:strCache>
            </c:strRef>
          </c:cat>
          <c:val>
            <c:numRef>
              <c:f>Plan1!$C$2:$C$11</c:f>
              <c:numCache>
                <c:formatCode>General</c:formatCode>
                <c:ptCount val="10"/>
                <c:pt idx="0">
                  <c:v>6045</c:v>
                </c:pt>
                <c:pt idx="1">
                  <c:v>3349</c:v>
                </c:pt>
                <c:pt idx="2">
                  <c:v>3871</c:v>
                </c:pt>
                <c:pt idx="3">
                  <c:v>4177</c:v>
                </c:pt>
                <c:pt idx="4">
                  <c:v>6820</c:v>
                </c:pt>
                <c:pt idx="5">
                  <c:v>8238</c:v>
                </c:pt>
                <c:pt idx="6">
                  <c:v>7405</c:v>
                </c:pt>
                <c:pt idx="7">
                  <c:v>10576</c:v>
                </c:pt>
                <c:pt idx="8">
                  <c:v>7159</c:v>
                </c:pt>
                <c:pt idx="9">
                  <c:v>6062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BE-499C-9CBD-5C1D4DCEB140}"/>
            </c:ext>
          </c:extLst>
        </c:ser>
        <c:axId val="286947584"/>
        <c:axId val="286953472"/>
      </c:barChart>
      <c:catAx>
        <c:axId val="286947584"/>
        <c:scaling>
          <c:orientation val="minMax"/>
        </c:scaling>
        <c:axPos val="b"/>
        <c:numFmt formatCode="General" sourceLinked="1"/>
        <c:tickLblPos val="nextTo"/>
        <c:crossAx val="286953472"/>
        <c:crosses val="autoZero"/>
        <c:auto val="1"/>
        <c:lblAlgn val="ctr"/>
        <c:lblOffset val="100"/>
      </c:catAx>
      <c:valAx>
        <c:axId val="286953472"/>
        <c:scaling>
          <c:orientation val="minMax"/>
        </c:scaling>
        <c:axPos val="l"/>
        <c:numFmt formatCode="General" sourceLinked="1"/>
        <c:tickLblPos val="nextTo"/>
        <c:crossAx val="2869475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Centro de Letras e Artes (CLA)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Plan1!$A$2</c:f>
              <c:numCache>
                <c:formatCode>General</c:formatCode>
                <c:ptCount val="1"/>
              </c:numCache>
            </c:numRef>
          </c:cat>
          <c:val>
            <c:numRef>
              <c:f>Plan1!$B$2</c:f>
              <c:numCache>
                <c:formatCode>General</c:formatCode>
                <c:ptCount val="1"/>
                <c:pt idx="0">
                  <c:v>5044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25-4448-AE03-A5C9153F1EA0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Centro de Filosofia e Ciências Humanas (CFCH)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Plan1!$A$2</c:f>
              <c:numCache>
                <c:formatCode>General</c:formatCode>
                <c:ptCount val="1"/>
              </c:numCache>
            </c:numRef>
          </c:cat>
          <c:val>
            <c:numRef>
              <c:f>Plan1!$C$2</c:f>
              <c:numCache>
                <c:formatCode>General</c:formatCode>
                <c:ptCount val="1"/>
                <c:pt idx="0">
                  <c:v>4919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25-4448-AE03-A5C9153F1EA0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Centro de Ciências da Saúde (CCS)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Plan1!$A$2</c:f>
              <c:numCache>
                <c:formatCode>General</c:formatCode>
                <c:ptCount val="1"/>
              </c:numCache>
            </c:numRef>
          </c:cat>
          <c:val>
            <c:numRef>
              <c:f>Plan1!$D$2</c:f>
              <c:numCache>
                <c:formatCode>General</c:formatCode>
                <c:ptCount val="1"/>
                <c:pt idx="0">
                  <c:v>4692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B25-4448-AE03-A5C9153F1EA0}"/>
            </c:ext>
          </c:extLst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Centro de Ciências Matemáticas e da Natureza (CCMN)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Plan1!$A$2</c:f>
              <c:numCache>
                <c:formatCode>General</c:formatCode>
                <c:ptCount val="1"/>
              </c:numCache>
            </c:numRef>
          </c:cat>
          <c:val>
            <c:numRef>
              <c:f>Plan1!$E$2</c:f>
              <c:numCache>
                <c:formatCode>General</c:formatCode>
                <c:ptCount val="1"/>
                <c:pt idx="0">
                  <c:v>4002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B25-4448-AE03-A5C9153F1EA0}"/>
            </c:ext>
          </c:extLst>
        </c:ser>
        <c:ser>
          <c:idx val="4"/>
          <c:order val="4"/>
          <c:tx>
            <c:strRef>
              <c:f>Plan1!$F$1</c:f>
              <c:strCache>
                <c:ptCount val="1"/>
                <c:pt idx="0">
                  <c:v>Centro de Tecnologia (CT)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Plan1!$A$2</c:f>
              <c:numCache>
                <c:formatCode>General</c:formatCode>
                <c:ptCount val="1"/>
              </c:numCache>
            </c:numRef>
          </c:cat>
          <c:val>
            <c:numRef>
              <c:f>Plan1!$F$2</c:f>
              <c:numCache>
                <c:formatCode>General</c:formatCode>
                <c:ptCount val="1"/>
                <c:pt idx="0">
                  <c:v>3747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B25-4448-AE03-A5C9153F1EA0}"/>
            </c:ext>
          </c:extLst>
        </c:ser>
        <c:ser>
          <c:idx val="5"/>
          <c:order val="5"/>
          <c:tx>
            <c:strRef>
              <c:f>Plan1!$G$1</c:f>
              <c:strCache>
                <c:ptCount val="1"/>
                <c:pt idx="0">
                  <c:v>Centro de Ciências Jurídicas e Econômicas (CCJE)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Plan1!$A$2</c:f>
              <c:numCache>
                <c:formatCode>General</c:formatCode>
                <c:ptCount val="1"/>
              </c:numCache>
            </c:numRef>
          </c:cat>
          <c:val>
            <c:numRef>
              <c:f>Plan1!$G$2</c:f>
              <c:numCache>
                <c:formatCode>General</c:formatCode>
                <c:ptCount val="1"/>
                <c:pt idx="0">
                  <c:v>3098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B25-4448-AE03-A5C9153F1EA0}"/>
            </c:ext>
          </c:extLst>
        </c:ser>
        <c:axId val="287087232"/>
        <c:axId val="212537728"/>
      </c:barChart>
      <c:catAx>
        <c:axId val="287087232"/>
        <c:scaling>
          <c:orientation val="minMax"/>
        </c:scaling>
        <c:axPos val="b"/>
        <c:numFmt formatCode="General" sourceLinked="1"/>
        <c:tickLblPos val="nextTo"/>
        <c:crossAx val="212537728"/>
        <c:crosses val="autoZero"/>
        <c:auto val="1"/>
        <c:lblAlgn val="ctr"/>
        <c:lblOffset val="100"/>
      </c:catAx>
      <c:valAx>
        <c:axId val="212537728"/>
        <c:scaling>
          <c:orientation val="minMax"/>
        </c:scaling>
        <c:axPos val="l"/>
        <c:numFmt formatCode="General" sourceLinked="1"/>
        <c:tickLblPos val="nextTo"/>
        <c:crossAx val="287087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889182302353386"/>
          <c:y val="7.3986007634220571E-2"/>
          <c:w val="0.35691457841053031"/>
          <c:h val="0.8520279847315587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plotArea>
      <c:layout/>
      <c:scatterChart>
        <c:scatterStyle val="lineMarker"/>
        <c:ser>
          <c:idx val="0"/>
          <c:order val="0"/>
          <c:tx>
            <c:strRef>
              <c:f>Plan1!$B$1</c:f>
              <c:strCache>
                <c:ptCount val="1"/>
                <c:pt idx="0">
                  <c:v>CLA</c:v>
                </c:pt>
              </c:strCache>
            </c:strRef>
          </c:tx>
          <c:spPr>
            <a:ln w="28575">
              <a:noFill/>
            </a:ln>
          </c:spPr>
          <c:dLbls>
            <c:dLbl>
              <c:idx val="0"/>
              <c:layout>
                <c:manualLayout>
                  <c:x val="-4.704630690195253E-3"/>
                  <c:y val="-2.87787716902996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AE-46B6-A610-45DC531589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t-B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Plan1!$A$2:$A$7</c:f>
              <c:numCache>
                <c:formatCode>General</c:formatCode>
                <c:ptCount val="6"/>
                <c:pt idx="0">
                  <c:v>1</c:v>
                </c:pt>
              </c:numCache>
            </c:numRef>
          </c:xVal>
          <c:yVal>
            <c:numRef>
              <c:f>Plan1!$B$2:$B$7</c:f>
              <c:numCache>
                <c:formatCode>General</c:formatCode>
                <c:ptCount val="6"/>
                <c:pt idx="0">
                  <c:v>1.1299999999999994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CDAE-46B6-A610-45DC531589A5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CFCH</c:v>
                </c:pt>
              </c:strCache>
            </c:strRef>
          </c:tx>
          <c:spPr>
            <a:ln w="28575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t-B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Plan1!$A$2:$A$7</c:f>
              <c:numCache>
                <c:formatCode>General</c:formatCode>
                <c:ptCount val="6"/>
                <c:pt idx="0">
                  <c:v>1</c:v>
                </c:pt>
              </c:numCache>
            </c:numRef>
          </c:xVal>
          <c:yVal>
            <c:numRef>
              <c:f>Plan1!$C$2:$C$7</c:f>
              <c:numCache>
                <c:formatCode>General</c:formatCode>
                <c:ptCount val="6"/>
                <c:pt idx="0">
                  <c:v>0.96000000000000019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2-CDAE-46B6-A610-45DC531589A5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CCS</c:v>
                </c:pt>
              </c:strCache>
            </c:strRef>
          </c:tx>
          <c:spPr>
            <a:ln w="28575">
              <a:noFill/>
            </a:ln>
          </c:spPr>
          <c:dLbls>
            <c:dLbl>
              <c:idx val="0"/>
              <c:layout>
                <c:manualLayout>
                  <c:x val="-8.6250566279678111E-17"/>
                  <c:y val="1.91858477935330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AE-46B6-A610-45DC531589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t-B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Plan1!$A$2:$A$7</c:f>
              <c:numCache>
                <c:formatCode>General</c:formatCode>
                <c:ptCount val="6"/>
                <c:pt idx="0">
                  <c:v>1</c:v>
                </c:pt>
              </c:numCache>
            </c:numRef>
          </c:xVal>
          <c:yVal>
            <c:numRef>
              <c:f>Plan1!$D$2:$D$7</c:f>
              <c:numCache>
                <c:formatCode>General</c:formatCode>
                <c:ptCount val="6"/>
                <c:pt idx="0">
                  <c:v>0.63000000000000023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4-CDAE-46B6-A610-45DC531589A5}"/>
            </c:ext>
          </c:extLst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CCMN</c:v>
                </c:pt>
              </c:strCache>
            </c:strRef>
          </c:tx>
          <c:spPr>
            <a:ln w="28575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t-B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Plan1!$A$2:$A$7</c:f>
              <c:numCache>
                <c:formatCode>General</c:formatCode>
                <c:ptCount val="6"/>
                <c:pt idx="0">
                  <c:v>1</c:v>
                </c:pt>
              </c:numCache>
            </c:numRef>
          </c:xVal>
          <c:yVal>
            <c:numRef>
              <c:f>Plan1!$E$2:$E$7</c:f>
              <c:numCache>
                <c:formatCode>General</c:formatCode>
                <c:ptCount val="6"/>
                <c:pt idx="0">
                  <c:v>-0.35000000000000009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5-CDAE-46B6-A610-45DC531589A5}"/>
            </c:ext>
          </c:extLst>
        </c:ser>
        <c:ser>
          <c:idx val="4"/>
          <c:order val="4"/>
          <c:tx>
            <c:strRef>
              <c:f>Plan1!$F$1</c:f>
              <c:strCache>
                <c:ptCount val="1"/>
                <c:pt idx="0">
                  <c:v>CT</c:v>
                </c:pt>
              </c:strCache>
            </c:strRef>
          </c:tx>
          <c:spPr>
            <a:ln w="28575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t-B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Plan1!$A$2:$A$7</c:f>
              <c:numCache>
                <c:formatCode>General</c:formatCode>
                <c:ptCount val="6"/>
                <c:pt idx="0">
                  <c:v>1</c:v>
                </c:pt>
              </c:numCache>
            </c:numRef>
          </c:xVal>
          <c:yVal>
            <c:numRef>
              <c:f>Plan1!$F$2:$F$7</c:f>
              <c:numCache>
                <c:formatCode>General</c:formatCode>
                <c:ptCount val="6"/>
                <c:pt idx="0">
                  <c:v>-0.7200000000000002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6-CDAE-46B6-A610-45DC531589A5}"/>
            </c:ext>
          </c:extLst>
        </c:ser>
        <c:ser>
          <c:idx val="5"/>
          <c:order val="5"/>
          <c:tx>
            <c:strRef>
              <c:f>Plan1!$G$1</c:f>
              <c:strCache>
                <c:ptCount val="1"/>
                <c:pt idx="0">
                  <c:v>CCJE</c:v>
                </c:pt>
              </c:strCache>
            </c:strRef>
          </c:tx>
          <c:spPr>
            <a:ln w="28575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t-B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Plan1!$A$2:$A$7</c:f>
              <c:numCache>
                <c:formatCode>General</c:formatCode>
                <c:ptCount val="6"/>
                <c:pt idx="0">
                  <c:v>1</c:v>
                </c:pt>
              </c:numCache>
            </c:numRef>
          </c:xVal>
          <c:yVal>
            <c:numRef>
              <c:f>Plan1!$G$2:$G$7</c:f>
              <c:numCache>
                <c:formatCode>General</c:formatCode>
                <c:ptCount val="6"/>
                <c:pt idx="0">
                  <c:v>-1.6500000000000001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7-CDAE-46B6-A610-45DC531589A5}"/>
            </c:ext>
          </c:extLst>
        </c:ser>
        <c:axId val="281954560"/>
        <c:axId val="209076224"/>
      </c:scatterChart>
      <c:valAx>
        <c:axId val="281954560"/>
        <c:scaling>
          <c:orientation val="minMax"/>
        </c:scaling>
        <c:delete val="1"/>
        <c:axPos val="b"/>
        <c:numFmt formatCode="General" sourceLinked="1"/>
        <c:tickLblPos val="none"/>
        <c:crossAx val="209076224"/>
        <c:crosses val="autoZero"/>
        <c:crossBetween val="midCat"/>
      </c:valAx>
      <c:valAx>
        <c:axId val="20907622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pt-BR"/>
          </a:p>
        </c:txPr>
        <c:crossAx val="281954560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829367860630335"/>
          <c:y val="0.14261246385656845"/>
          <c:w val="0.11759242932311113"/>
          <c:h val="0.72842002799482364"/>
        </c:manualLayout>
      </c:layout>
      <c:txPr>
        <a:bodyPr/>
        <a:lstStyle/>
        <a:p>
          <a:pPr>
            <a:defRPr sz="1200"/>
          </a:pPr>
          <a:endParaRPr lang="pt-BR"/>
        </a:p>
      </c:txPr>
    </c:legend>
    <c:plotVisOnly val="1"/>
    <c:dispBlanksAs val="gap"/>
  </c:chart>
  <c:txPr>
    <a:bodyPr/>
    <a:lstStyle/>
    <a:p>
      <a:pPr>
        <a:defRPr sz="1800"/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AC4E-2E8E-4F78-B05F-4A370A8C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5271</Words>
  <Characters>28465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Narciso</dc:creator>
  <cp:lastModifiedBy>Claudia</cp:lastModifiedBy>
  <cp:revision>2</cp:revision>
  <dcterms:created xsi:type="dcterms:W3CDTF">2019-11-28T20:44:00Z</dcterms:created>
  <dcterms:modified xsi:type="dcterms:W3CDTF">2019-11-28T20:44:00Z</dcterms:modified>
</cp:coreProperties>
</file>